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A1DE8" w14:textId="77777777" w:rsidR="00E203C2" w:rsidRPr="008C0160" w:rsidRDefault="00DF0BB1" w:rsidP="00E203C2">
      <w:r w:rsidRPr="008C0160">
        <w:t xml:space="preserve"> </w:t>
      </w:r>
      <w:r w:rsidR="00E203C2" w:rsidRPr="008C0160">
        <w:rPr>
          <w:noProof/>
          <w:lang w:eastAsia="en-GB" w:bidi="ar-SA"/>
        </w:rPr>
        <w:drawing>
          <wp:inline distT="0" distB="0" distL="0" distR="0" wp14:anchorId="77D8FD39" wp14:editId="39129264">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40A0DB9" w14:textId="77777777" w:rsidR="00E203C2" w:rsidRPr="008C0160" w:rsidRDefault="00E203C2" w:rsidP="00E203C2"/>
    <w:p w14:paraId="60572016" w14:textId="77777777" w:rsidR="000E611C" w:rsidRPr="000E611C" w:rsidRDefault="000E611C" w:rsidP="000E611C">
      <w:pPr>
        <w:widowControl/>
        <w:tabs>
          <w:tab w:val="left" w:pos="851"/>
        </w:tabs>
        <w:rPr>
          <w:b/>
          <w:sz w:val="28"/>
          <w:szCs w:val="28"/>
          <w:lang w:bidi="ar-SA"/>
        </w:rPr>
      </w:pPr>
      <w:r w:rsidRPr="000E611C">
        <w:rPr>
          <w:b/>
          <w:sz w:val="28"/>
          <w:szCs w:val="28"/>
          <w:lang w:bidi="ar-SA"/>
        </w:rPr>
        <w:t>26 April 2017</w:t>
      </w:r>
    </w:p>
    <w:p w14:paraId="0976E65B" w14:textId="77777777" w:rsidR="000E611C" w:rsidRPr="000E611C" w:rsidRDefault="000E611C" w:rsidP="000E611C">
      <w:pPr>
        <w:widowControl/>
        <w:rPr>
          <w:b/>
          <w:sz w:val="28"/>
          <w:szCs w:val="28"/>
          <w:lang w:bidi="ar-SA"/>
        </w:rPr>
      </w:pPr>
      <w:r w:rsidRPr="000E611C">
        <w:rPr>
          <w:b/>
          <w:sz w:val="28"/>
          <w:szCs w:val="28"/>
          <w:lang w:bidi="ar-SA"/>
        </w:rPr>
        <w:t>[11–17]</w:t>
      </w:r>
    </w:p>
    <w:p w14:paraId="7D6F0277" w14:textId="77777777" w:rsidR="00B845CC" w:rsidRPr="008C0160" w:rsidRDefault="00B845CC" w:rsidP="00B845CC">
      <w:pPr>
        <w:rPr>
          <w:rFonts w:cs="Tahoma"/>
          <w:b/>
          <w:bCs/>
        </w:rPr>
      </w:pPr>
      <w:bookmarkStart w:id="0" w:name="_GoBack"/>
      <w:bookmarkEnd w:id="0"/>
    </w:p>
    <w:p w14:paraId="26BE85EB" w14:textId="77777777" w:rsidR="00B845CC" w:rsidRPr="008C0160" w:rsidRDefault="00B845CC" w:rsidP="00B845CC">
      <w:pPr>
        <w:rPr>
          <w:rFonts w:cs="Tahoma"/>
          <w:b/>
          <w:bCs/>
          <w:color w:val="000000" w:themeColor="text1"/>
          <w:sz w:val="32"/>
        </w:rPr>
      </w:pPr>
      <w:r w:rsidRPr="008C0160">
        <w:rPr>
          <w:rFonts w:cs="Tahoma"/>
          <w:b/>
          <w:bCs/>
          <w:color w:val="000000" w:themeColor="text1"/>
          <w:sz w:val="32"/>
        </w:rPr>
        <w:t>Supporting document 1</w:t>
      </w:r>
    </w:p>
    <w:p w14:paraId="7624576B" w14:textId="77777777" w:rsidR="00B845CC" w:rsidRPr="008C0160" w:rsidRDefault="00B845CC" w:rsidP="00B845CC">
      <w:pPr>
        <w:rPr>
          <w:color w:val="000000" w:themeColor="text1"/>
        </w:rPr>
      </w:pPr>
    </w:p>
    <w:p w14:paraId="6B3A95E9" w14:textId="77777777" w:rsidR="00B845CC" w:rsidRPr="008C0160" w:rsidRDefault="00B845CC" w:rsidP="00B845CC">
      <w:pPr>
        <w:rPr>
          <w:rFonts w:cs="Tahoma"/>
          <w:bCs/>
          <w:color w:val="000000" w:themeColor="text1"/>
          <w:sz w:val="32"/>
        </w:rPr>
      </w:pPr>
      <w:r w:rsidRPr="008C0160">
        <w:rPr>
          <w:rFonts w:cs="Tahoma"/>
          <w:bCs/>
          <w:color w:val="000000" w:themeColor="text1"/>
          <w:sz w:val="32"/>
        </w:rPr>
        <w:t xml:space="preserve">Risk </w:t>
      </w:r>
      <w:r w:rsidR="0065686C">
        <w:rPr>
          <w:rFonts w:cs="Tahoma"/>
          <w:bCs/>
          <w:color w:val="000000" w:themeColor="text1"/>
          <w:sz w:val="32"/>
        </w:rPr>
        <w:t xml:space="preserve">and technical </w:t>
      </w:r>
      <w:r w:rsidRPr="008C0160">
        <w:rPr>
          <w:rFonts w:cs="Tahoma"/>
          <w:bCs/>
          <w:color w:val="000000" w:themeColor="text1"/>
          <w:sz w:val="32"/>
        </w:rPr>
        <w:t>assessment – Application A1127</w:t>
      </w:r>
    </w:p>
    <w:p w14:paraId="4195F72B" w14:textId="77777777" w:rsidR="00B845CC" w:rsidRPr="008C0160" w:rsidRDefault="00B845CC" w:rsidP="00B845CC">
      <w:pPr>
        <w:rPr>
          <w:color w:val="000000" w:themeColor="text1"/>
        </w:rPr>
      </w:pPr>
    </w:p>
    <w:p w14:paraId="3137F946" w14:textId="77777777" w:rsidR="00B845CC" w:rsidRPr="008C0160" w:rsidRDefault="00B845CC" w:rsidP="00B845CC">
      <w:pPr>
        <w:rPr>
          <w:rFonts w:cs="Tahoma"/>
          <w:bCs/>
          <w:color w:val="000000" w:themeColor="text1"/>
          <w:sz w:val="32"/>
        </w:rPr>
      </w:pPr>
      <w:r w:rsidRPr="008C0160">
        <w:rPr>
          <w:rFonts w:cs="Tahoma"/>
          <w:bCs/>
          <w:color w:val="000000" w:themeColor="text1"/>
          <w:sz w:val="32"/>
        </w:rPr>
        <w:t>Processing Aids in Wine</w:t>
      </w:r>
    </w:p>
    <w:p w14:paraId="4B62C54D" w14:textId="77777777" w:rsidR="009B7EF8" w:rsidRPr="008C0160" w:rsidRDefault="009B7EF8" w:rsidP="009B7EF8">
      <w:pPr>
        <w:pBdr>
          <w:bottom w:val="single" w:sz="12" w:space="1" w:color="auto"/>
        </w:pBdr>
        <w:spacing w:line="280" w:lineRule="exact"/>
        <w:rPr>
          <w:rFonts w:cs="Arial"/>
          <w:bCs/>
        </w:rPr>
      </w:pPr>
    </w:p>
    <w:p w14:paraId="2737F0C4" w14:textId="77777777" w:rsidR="009B7EF8" w:rsidRPr="008C0160" w:rsidRDefault="009B7EF8" w:rsidP="009B7EF8"/>
    <w:p w14:paraId="281C6838" w14:textId="77777777" w:rsidR="009B2F7F" w:rsidRPr="008C0160" w:rsidRDefault="009B2F7F" w:rsidP="009B2F7F">
      <w:pPr>
        <w:pStyle w:val="Heading1"/>
        <w:spacing w:before="0"/>
      </w:pPr>
      <w:bookmarkStart w:id="1" w:name="_Toc472668663"/>
      <w:bookmarkStart w:id="2" w:name="_Toc478375776"/>
      <w:bookmarkStart w:id="3" w:name="_Toc476908555"/>
      <w:r w:rsidRPr="008C0160">
        <w:t>Executive summary</w:t>
      </w:r>
      <w:bookmarkEnd w:id="1"/>
      <w:bookmarkEnd w:id="2"/>
      <w:r w:rsidRPr="008C0160">
        <w:t xml:space="preserve"> </w:t>
      </w:r>
      <w:bookmarkEnd w:id="3"/>
    </w:p>
    <w:p w14:paraId="64D6FE17" w14:textId="77777777" w:rsidR="004E0CA6" w:rsidRPr="008C0160" w:rsidRDefault="0033063E" w:rsidP="00854F2A">
      <w:pPr>
        <w:rPr>
          <w:lang w:bidi="ar-SA"/>
        </w:rPr>
      </w:pPr>
      <w:r w:rsidRPr="008C0160">
        <w:rPr>
          <w:lang w:bidi="ar-SA"/>
        </w:rPr>
        <w:t xml:space="preserve">The </w:t>
      </w:r>
      <w:r w:rsidR="003954D7" w:rsidRPr="008C0160">
        <w:rPr>
          <w:lang w:bidi="ar-SA"/>
        </w:rPr>
        <w:t>Winemakers’ Federation of Australia (WFA)</w:t>
      </w:r>
      <w:r w:rsidRPr="008C0160">
        <w:rPr>
          <w:lang w:bidi="ar-SA"/>
        </w:rPr>
        <w:t xml:space="preserve"> </w:t>
      </w:r>
      <w:r w:rsidR="009B7EF8" w:rsidRPr="008C0160">
        <w:rPr>
          <w:lang w:bidi="ar-SA"/>
        </w:rPr>
        <w:t xml:space="preserve">is </w:t>
      </w:r>
      <w:r w:rsidRPr="008C0160">
        <w:rPr>
          <w:lang w:bidi="ar-SA"/>
        </w:rPr>
        <w:t>seeking amendments to the Australia New Zealand Food Standards Code (the Code),</w:t>
      </w:r>
      <w:r w:rsidR="00E8739E" w:rsidRPr="008C0160">
        <w:rPr>
          <w:lang w:bidi="ar-SA"/>
        </w:rPr>
        <w:t xml:space="preserve"> </w:t>
      </w:r>
      <w:r w:rsidR="00854F2A" w:rsidRPr="008C0160">
        <w:rPr>
          <w:lang w:bidi="ar-SA"/>
        </w:rPr>
        <w:t>to provide</w:t>
      </w:r>
      <w:r w:rsidRPr="008C0160">
        <w:rPr>
          <w:lang w:bidi="ar-SA"/>
        </w:rPr>
        <w:t xml:space="preserve"> permissions for four new processing aids</w:t>
      </w:r>
      <w:r w:rsidR="00955C5E" w:rsidRPr="008C0160">
        <w:rPr>
          <w:lang w:bidi="ar-SA"/>
        </w:rPr>
        <w:t xml:space="preserve"> for use in the manufacture of wine</w:t>
      </w:r>
      <w:r w:rsidR="00B32600">
        <w:rPr>
          <w:lang w:bidi="ar-SA"/>
        </w:rPr>
        <w:t>.</w:t>
      </w:r>
      <w:r w:rsidR="00955C5E" w:rsidRPr="008C0160">
        <w:rPr>
          <w:lang w:bidi="ar-SA"/>
        </w:rPr>
        <w:t xml:space="preserve"> </w:t>
      </w:r>
    </w:p>
    <w:p w14:paraId="26DE98B7" w14:textId="77777777" w:rsidR="004E0CA6" w:rsidRPr="008C0160" w:rsidRDefault="004E0CA6" w:rsidP="00854F2A">
      <w:pPr>
        <w:rPr>
          <w:lang w:bidi="ar-SA"/>
        </w:rPr>
      </w:pPr>
    </w:p>
    <w:p w14:paraId="44956E96" w14:textId="77777777" w:rsidR="00F23AE9" w:rsidRDefault="00F23AE9" w:rsidP="00854F2A">
      <w:pPr>
        <w:rPr>
          <w:lang w:bidi="ar-SA"/>
        </w:rPr>
      </w:pPr>
      <w:r w:rsidRPr="00F23AE9">
        <w:rPr>
          <w:lang w:bidi="ar-SA"/>
        </w:rPr>
        <w:t xml:space="preserve">The European Union (EU) </w:t>
      </w:r>
      <w:r w:rsidR="00061BC5" w:rsidRPr="00F23AE9">
        <w:rPr>
          <w:lang w:bidi="ar-SA"/>
        </w:rPr>
        <w:t>has</w:t>
      </w:r>
      <w:r w:rsidRPr="00F23AE9">
        <w:rPr>
          <w:lang w:bidi="ar-SA"/>
        </w:rPr>
        <w:t xml:space="preserve"> formally requested Australia </w:t>
      </w:r>
      <w:r w:rsidRPr="00AB6B8B">
        <w:rPr>
          <w:lang w:bidi="ar-SA"/>
        </w:rPr>
        <w:t>authori</w:t>
      </w:r>
      <w:r w:rsidR="00AB6B8B">
        <w:rPr>
          <w:lang w:bidi="ar-SA"/>
        </w:rPr>
        <w:t>s</w:t>
      </w:r>
      <w:r w:rsidRPr="00AB6B8B">
        <w:rPr>
          <w:lang w:bidi="ar-SA"/>
        </w:rPr>
        <w:t>e</w:t>
      </w:r>
      <w:r w:rsidRPr="00F23AE9">
        <w:rPr>
          <w:lang w:bidi="ar-SA"/>
        </w:rPr>
        <w:t xml:space="preserve"> the use of these processing aids for use in wine and in response, the WFA have prepared this Application. Gaining permission for these processing aids will enable Australia to fulfil its treaty obligations under the Wine Agreement and also to satisfy World Trade Organisation obligations to ensure equal treatment with its trading partners</w:t>
      </w:r>
      <w:r>
        <w:rPr>
          <w:lang w:bidi="ar-SA"/>
        </w:rPr>
        <w:t>.</w:t>
      </w:r>
    </w:p>
    <w:p w14:paraId="33C03C9F" w14:textId="77777777" w:rsidR="0033063E" w:rsidRPr="008C0160" w:rsidRDefault="0033063E" w:rsidP="00854F2A">
      <w:pPr>
        <w:rPr>
          <w:lang w:bidi="ar-SA"/>
        </w:rPr>
      </w:pPr>
    </w:p>
    <w:p w14:paraId="70E26837" w14:textId="77777777" w:rsidR="0033063E" w:rsidRPr="008C0160" w:rsidRDefault="0033063E" w:rsidP="0033063E">
      <w:r w:rsidRPr="008C0160">
        <w:t>Three of the four processing aids (</w:t>
      </w:r>
      <w:r w:rsidR="00A563F3" w:rsidRPr="008C0160">
        <w:t>chitin-glucan</w:t>
      </w:r>
      <w:r w:rsidRPr="008C0160">
        <w:t>,</w:t>
      </w:r>
      <w:r w:rsidR="00854F2A" w:rsidRPr="008C0160">
        <w:t xml:space="preserve"> PVI/PVP </w:t>
      </w:r>
      <w:r w:rsidR="00370D52" w:rsidRPr="008C0160">
        <w:t>co-polymers</w:t>
      </w:r>
      <w:r w:rsidRPr="008C0160">
        <w:t xml:space="preserve">, </w:t>
      </w:r>
      <w:r w:rsidR="007D14A1">
        <w:t>ammonium bisulphite</w:t>
      </w:r>
      <w:r w:rsidR="00F23AE9">
        <w:t xml:space="preserve"> (also known as ammonium hydrogen sulphite)</w:t>
      </w:r>
      <w:r w:rsidR="00854F2A" w:rsidRPr="008C0160">
        <w:t>)</w:t>
      </w:r>
      <w:r w:rsidRPr="008C0160">
        <w:t xml:space="preserve"> are </w:t>
      </w:r>
      <w:r w:rsidR="000179A0" w:rsidRPr="008C0160">
        <w:t>permitted processing aids</w:t>
      </w:r>
      <w:r w:rsidRPr="008C0160">
        <w:t xml:space="preserve"> in the EU and the USA. </w:t>
      </w:r>
      <w:r w:rsidR="007201E2">
        <w:t>The fourth, silver chloride,</w:t>
      </w:r>
      <w:r w:rsidR="00854F2A" w:rsidRPr="008C0160">
        <w:t xml:space="preserve"> is permitted in the EU and the Republic of South Africa.</w:t>
      </w:r>
      <w:r w:rsidR="00955C5E" w:rsidRPr="008C0160">
        <w:t xml:space="preserve"> </w:t>
      </w:r>
    </w:p>
    <w:p w14:paraId="38C4F89F" w14:textId="77777777" w:rsidR="00D83304" w:rsidRPr="008C0160" w:rsidRDefault="00D83304" w:rsidP="0033063E"/>
    <w:p w14:paraId="7782C24D" w14:textId="77777777" w:rsidR="00874971" w:rsidRDefault="00F23AE9" w:rsidP="00F23AE9">
      <w:pPr>
        <w:rPr>
          <w:szCs w:val="22"/>
        </w:rPr>
      </w:pPr>
      <w:r w:rsidRPr="008C0160">
        <w:t xml:space="preserve">Three of the processing aids are removed by filtration or similar processes before bottling so </w:t>
      </w:r>
      <w:r w:rsidR="005632C4">
        <w:t>negligible levels are expected</w:t>
      </w:r>
      <w:r w:rsidRPr="008C0160">
        <w:t xml:space="preserve"> in the final product. </w:t>
      </w:r>
      <w:r w:rsidR="006041D2">
        <w:t>The fourth, ammonium bisulphite breaks down into nitrogen ions and is assimilate</w:t>
      </w:r>
      <w:r w:rsidR="003449F7">
        <w:t>d</w:t>
      </w:r>
      <w:r w:rsidR="006041D2">
        <w:t xml:space="preserve"> by yeast. </w:t>
      </w:r>
      <w:r w:rsidR="006041D2" w:rsidRPr="006041D2">
        <w:t>FSANZ did note</w:t>
      </w:r>
      <w:r w:rsidR="006041D2">
        <w:t xml:space="preserve"> however, </w:t>
      </w:r>
      <w:r w:rsidR="006041D2" w:rsidRPr="006041D2">
        <w:t>that sulphur dioxide (SO</w:t>
      </w:r>
      <w:r w:rsidR="006041D2" w:rsidRPr="007201E2">
        <w:rPr>
          <w:vertAlign w:val="subscript"/>
        </w:rPr>
        <w:t>2</w:t>
      </w:r>
      <w:r w:rsidR="006041D2" w:rsidRPr="006041D2">
        <w:t xml:space="preserve">) is </w:t>
      </w:r>
      <w:r w:rsidR="006041D2">
        <w:t xml:space="preserve">also </w:t>
      </w:r>
      <w:r w:rsidR="006041D2" w:rsidRPr="006041D2">
        <w:t>produced during the breakdown of ammonium bisulphite, which may remain in the wine and have an incidental role as a preservative. The primary technological function for ammonium bisulphite is for a yeast nutrient and its use as such is technologically justified.</w:t>
      </w:r>
      <w:r w:rsidR="006041D2">
        <w:rPr>
          <w:szCs w:val="22"/>
        </w:rPr>
        <w:t xml:space="preserve"> </w:t>
      </w:r>
      <w:r w:rsidR="006041D2" w:rsidRPr="006041D2">
        <w:t>SO</w:t>
      </w:r>
      <w:r w:rsidR="006041D2" w:rsidRPr="007201E2">
        <w:rPr>
          <w:vertAlign w:val="subscript"/>
        </w:rPr>
        <w:t>2</w:t>
      </w:r>
      <w:r w:rsidR="006041D2" w:rsidRPr="006041D2">
        <w:t xml:space="preserve"> is a permitted food additive in wine under item 14.2.2 of the table to section 15—5. </w:t>
      </w:r>
    </w:p>
    <w:p w14:paraId="6E64FC4E" w14:textId="77777777" w:rsidR="00F23AE9" w:rsidRDefault="00F23AE9" w:rsidP="00F23AE9">
      <w:pPr>
        <w:rPr>
          <w:lang w:bidi="ar-SA"/>
        </w:rPr>
      </w:pPr>
    </w:p>
    <w:p w14:paraId="333031C0" w14:textId="77777777" w:rsidR="00536189" w:rsidRDefault="00536189" w:rsidP="00D070E4">
      <w:pPr>
        <w:rPr>
          <w:lang w:bidi="ar-SA"/>
        </w:rPr>
      </w:pPr>
      <w:r w:rsidRPr="00D070E4">
        <w:rPr>
          <w:lang w:bidi="ar-SA"/>
        </w:rPr>
        <w:t xml:space="preserve">The </w:t>
      </w:r>
      <w:r w:rsidR="00D7467D">
        <w:rPr>
          <w:lang w:bidi="ar-SA"/>
        </w:rPr>
        <w:t xml:space="preserve">technical </w:t>
      </w:r>
      <w:r>
        <w:rPr>
          <w:lang w:bidi="ar-SA"/>
        </w:rPr>
        <w:t>assessment</w:t>
      </w:r>
      <w:r w:rsidDel="00D7467D">
        <w:rPr>
          <w:lang w:bidi="ar-SA"/>
        </w:rPr>
        <w:t xml:space="preserve"> </w:t>
      </w:r>
      <w:r>
        <w:rPr>
          <w:lang w:bidi="ar-SA"/>
        </w:rPr>
        <w:t>concluded</w:t>
      </w:r>
      <w:r w:rsidRPr="00D070E4">
        <w:rPr>
          <w:lang w:bidi="ar-SA"/>
        </w:rPr>
        <w:t xml:space="preserve"> that </w:t>
      </w:r>
      <w:r w:rsidR="007D191A">
        <w:rPr>
          <w:lang w:bidi="ar-SA"/>
        </w:rPr>
        <w:t xml:space="preserve">the </w:t>
      </w:r>
      <w:r w:rsidR="007D191A" w:rsidRPr="00D070E4">
        <w:rPr>
          <w:lang w:bidi="ar-SA"/>
        </w:rPr>
        <w:t>technological purpose</w:t>
      </w:r>
      <w:r w:rsidR="007D191A">
        <w:rPr>
          <w:lang w:bidi="ar-SA"/>
        </w:rPr>
        <w:t>s of</w:t>
      </w:r>
      <w:r w:rsidR="007D191A" w:rsidRPr="00D070E4">
        <w:rPr>
          <w:lang w:bidi="ar-SA"/>
        </w:rPr>
        <w:t xml:space="preserve"> </w:t>
      </w:r>
      <w:r w:rsidR="00B32600">
        <w:rPr>
          <w:lang w:bidi="ar-SA"/>
        </w:rPr>
        <w:t>the four</w:t>
      </w:r>
      <w:r>
        <w:rPr>
          <w:lang w:bidi="ar-SA"/>
        </w:rPr>
        <w:t xml:space="preserve"> processing aids</w:t>
      </w:r>
      <w:r w:rsidRPr="00B528BC">
        <w:rPr>
          <w:lang w:bidi="ar-SA"/>
        </w:rPr>
        <w:t xml:space="preserve"> </w:t>
      </w:r>
      <w:r w:rsidR="007D191A">
        <w:rPr>
          <w:lang w:bidi="ar-SA"/>
        </w:rPr>
        <w:t xml:space="preserve">are </w:t>
      </w:r>
      <w:r>
        <w:rPr>
          <w:lang w:bidi="ar-SA"/>
        </w:rPr>
        <w:t>justif</w:t>
      </w:r>
      <w:r w:rsidR="007D191A">
        <w:rPr>
          <w:lang w:bidi="ar-SA"/>
        </w:rPr>
        <w:t>ied</w:t>
      </w:r>
      <w:r>
        <w:rPr>
          <w:lang w:bidi="ar-SA"/>
        </w:rPr>
        <w:t xml:space="preserve"> </w:t>
      </w:r>
      <w:r w:rsidRPr="00D070E4">
        <w:rPr>
          <w:lang w:bidi="ar-SA"/>
        </w:rPr>
        <w:t xml:space="preserve">at </w:t>
      </w:r>
      <w:r w:rsidR="007D191A">
        <w:rPr>
          <w:lang w:bidi="ar-SA"/>
        </w:rPr>
        <w:t xml:space="preserve">use </w:t>
      </w:r>
      <w:r w:rsidRPr="00D070E4">
        <w:rPr>
          <w:lang w:bidi="ar-SA"/>
        </w:rPr>
        <w:t>level</w:t>
      </w:r>
      <w:r w:rsidR="007D191A">
        <w:rPr>
          <w:lang w:bidi="ar-SA"/>
        </w:rPr>
        <w:t>s</w:t>
      </w:r>
      <w:r w:rsidRPr="00D070E4">
        <w:rPr>
          <w:lang w:bidi="ar-SA"/>
        </w:rPr>
        <w:t xml:space="preserve"> consistent with </w:t>
      </w:r>
      <w:r>
        <w:rPr>
          <w:lang w:bidi="ar-SA"/>
        </w:rPr>
        <w:t>good manufacturing practice (</w:t>
      </w:r>
      <w:r w:rsidRPr="00D070E4">
        <w:rPr>
          <w:lang w:bidi="ar-SA"/>
        </w:rPr>
        <w:t>GMP</w:t>
      </w:r>
      <w:r>
        <w:rPr>
          <w:lang w:bidi="ar-SA"/>
        </w:rPr>
        <w:t>)</w:t>
      </w:r>
      <w:r w:rsidRPr="00D070E4">
        <w:rPr>
          <w:lang w:bidi="ar-SA"/>
        </w:rPr>
        <w:t>, which limits the amount of the substance</w:t>
      </w:r>
      <w:r w:rsidR="00B32600">
        <w:rPr>
          <w:lang w:bidi="ar-SA"/>
        </w:rPr>
        <w:t>s</w:t>
      </w:r>
      <w:r w:rsidRPr="00D070E4">
        <w:rPr>
          <w:lang w:bidi="ar-SA"/>
        </w:rPr>
        <w:t xml:space="preserve"> added to the lowest level</w:t>
      </w:r>
      <w:r w:rsidR="00B32600">
        <w:rPr>
          <w:lang w:bidi="ar-SA"/>
        </w:rPr>
        <w:t>s</w:t>
      </w:r>
      <w:r w:rsidRPr="00D070E4">
        <w:rPr>
          <w:lang w:bidi="ar-SA"/>
        </w:rPr>
        <w:t xml:space="preserve"> necessary to accomplish </w:t>
      </w:r>
      <w:r w:rsidR="00B32600">
        <w:rPr>
          <w:lang w:bidi="ar-SA"/>
        </w:rPr>
        <w:t>their</w:t>
      </w:r>
      <w:r w:rsidRPr="00D070E4">
        <w:rPr>
          <w:lang w:bidi="ar-SA"/>
        </w:rPr>
        <w:t xml:space="preserve"> </w:t>
      </w:r>
      <w:r w:rsidR="003449F7">
        <w:rPr>
          <w:lang w:bidi="ar-SA"/>
        </w:rPr>
        <w:t>intended</w:t>
      </w:r>
      <w:r w:rsidR="003449F7" w:rsidRPr="00D070E4">
        <w:rPr>
          <w:lang w:bidi="ar-SA"/>
        </w:rPr>
        <w:t xml:space="preserve"> </w:t>
      </w:r>
      <w:r w:rsidR="003449F7">
        <w:rPr>
          <w:lang w:bidi="ar-SA"/>
        </w:rPr>
        <w:t>function</w:t>
      </w:r>
      <w:r w:rsidRPr="00D070E4">
        <w:rPr>
          <w:lang w:bidi="ar-SA"/>
        </w:rPr>
        <w:t>.</w:t>
      </w:r>
    </w:p>
    <w:p w14:paraId="5AF15E80" w14:textId="77777777" w:rsidR="00536189" w:rsidRDefault="00536189" w:rsidP="00D070E4">
      <w:pPr>
        <w:rPr>
          <w:lang w:bidi="ar-SA"/>
        </w:rPr>
      </w:pPr>
    </w:p>
    <w:p w14:paraId="78C346D6" w14:textId="77777777" w:rsidR="0065686C" w:rsidRDefault="003449F7" w:rsidP="00D070E4">
      <w:pPr>
        <w:rPr>
          <w:lang w:bidi="ar-SA"/>
        </w:rPr>
      </w:pPr>
      <w:r>
        <w:rPr>
          <w:lang w:bidi="ar-SA"/>
        </w:rPr>
        <w:t>FSANZ has</w:t>
      </w:r>
      <w:r w:rsidR="00F23AE9" w:rsidRPr="008C0160">
        <w:rPr>
          <w:lang w:bidi="ar-SA"/>
        </w:rPr>
        <w:t xml:space="preserve"> </w:t>
      </w:r>
      <w:r w:rsidR="00FA1A83">
        <w:rPr>
          <w:lang w:bidi="ar-SA"/>
        </w:rPr>
        <w:t>concluded that</w:t>
      </w:r>
      <w:r w:rsidR="00F23AE9" w:rsidRPr="008C0160">
        <w:rPr>
          <w:lang w:bidi="ar-SA"/>
        </w:rPr>
        <w:t xml:space="preserve"> there are no public health and safety concerns from the </w:t>
      </w:r>
      <w:r>
        <w:rPr>
          <w:lang w:bidi="ar-SA"/>
        </w:rPr>
        <w:t xml:space="preserve">proposed </w:t>
      </w:r>
      <w:r w:rsidR="00F23AE9" w:rsidRPr="008C0160">
        <w:rPr>
          <w:lang w:bidi="ar-SA"/>
        </w:rPr>
        <w:t>use of these substances</w:t>
      </w:r>
      <w:r w:rsidR="00F23AE9" w:rsidRPr="008C0160">
        <w:rPr>
          <w:i/>
          <w:lang w:bidi="ar-SA"/>
        </w:rPr>
        <w:t xml:space="preserve"> </w:t>
      </w:r>
      <w:r w:rsidR="00F23AE9" w:rsidRPr="008C0160">
        <w:rPr>
          <w:lang w:bidi="ar-SA"/>
        </w:rPr>
        <w:t>as processing aids in the manufacture of wine</w:t>
      </w:r>
      <w:r w:rsidR="00B32600">
        <w:rPr>
          <w:lang w:bidi="ar-SA"/>
        </w:rPr>
        <w:t>.</w:t>
      </w:r>
      <w:r w:rsidR="00D070E4">
        <w:rPr>
          <w:lang w:bidi="ar-SA"/>
        </w:rPr>
        <w:t xml:space="preserve"> </w:t>
      </w:r>
    </w:p>
    <w:p w14:paraId="768186FC" w14:textId="77777777" w:rsidR="00092CDA" w:rsidRPr="008C0160" w:rsidRDefault="00092CDA" w:rsidP="00690206"/>
    <w:p w14:paraId="7C83C2C3" w14:textId="77777777" w:rsidR="00547944" w:rsidRPr="008C0160" w:rsidRDefault="00547944" w:rsidP="00690206">
      <w:pPr>
        <w:sectPr w:rsidR="00547944" w:rsidRPr="008C0160" w:rsidSect="0054272D">
          <w:footerReference w:type="even" r:id="rId14"/>
          <w:footerReference w:type="default" r:id="rId15"/>
          <w:headerReference w:type="first" r:id="rId16"/>
          <w:pgSz w:w="11906" w:h="16838"/>
          <w:pgMar w:top="1418" w:right="1418" w:bottom="1418" w:left="1418" w:header="709" w:footer="709" w:gutter="0"/>
          <w:pgNumType w:fmt="lowerRoman" w:start="1"/>
          <w:cols w:space="708"/>
          <w:docGrid w:linePitch="360"/>
        </w:sectPr>
      </w:pPr>
    </w:p>
    <w:sdt>
      <w:sdtPr>
        <w:rPr>
          <w:rFonts w:asciiTheme="minorHAnsi" w:hAnsiTheme="minorHAnsi"/>
          <w:b w:val="0"/>
          <w:bCs w:val="0"/>
          <w:caps/>
          <w:sz w:val="22"/>
          <w:szCs w:val="24"/>
          <w:lang w:bidi="en-US"/>
        </w:rPr>
        <w:id w:val="-184292200"/>
        <w:docPartObj>
          <w:docPartGallery w:val="Table of Contents"/>
          <w:docPartUnique/>
        </w:docPartObj>
      </w:sdtPr>
      <w:sdtEndPr>
        <w:rPr>
          <w:b/>
          <w:bCs/>
          <w:noProof/>
          <w:sz w:val="20"/>
          <w:szCs w:val="20"/>
        </w:rPr>
      </w:sdtEndPr>
      <w:sdtContent>
        <w:p w14:paraId="65D3ABEC" w14:textId="77777777" w:rsidR="00034724" w:rsidRPr="008C0160" w:rsidRDefault="00034724">
          <w:pPr>
            <w:pStyle w:val="TOCHeading"/>
          </w:pPr>
          <w:r w:rsidRPr="008C0160">
            <w:t xml:space="preserve">Table of </w:t>
          </w:r>
          <w:r w:rsidR="009B7EF8" w:rsidRPr="008C0160">
            <w:t>c</w:t>
          </w:r>
          <w:r w:rsidRPr="008C0160">
            <w:t>ontents</w:t>
          </w:r>
        </w:p>
        <w:p w14:paraId="04776AF5" w14:textId="77777777" w:rsidR="005E2BAA" w:rsidRDefault="00034724">
          <w:pPr>
            <w:pStyle w:val="TOC1"/>
            <w:tabs>
              <w:tab w:val="right" w:leader="dot" w:pos="9060"/>
            </w:tabs>
            <w:rPr>
              <w:rFonts w:eastAsiaTheme="minorEastAsia" w:cstheme="minorBidi"/>
              <w:b w:val="0"/>
              <w:bCs w:val="0"/>
              <w:caps w:val="0"/>
              <w:noProof/>
              <w:sz w:val="22"/>
              <w:szCs w:val="22"/>
              <w:lang w:val="en-NZ" w:eastAsia="en-NZ" w:bidi="ar-SA"/>
            </w:rPr>
          </w:pPr>
          <w:r w:rsidRPr="008C0160">
            <w:fldChar w:fldCharType="begin"/>
          </w:r>
          <w:r w:rsidRPr="008C0160">
            <w:instrText xml:space="preserve"> TOC \o "1-3" \h \z \u </w:instrText>
          </w:r>
          <w:r w:rsidRPr="008C0160">
            <w:fldChar w:fldCharType="separate"/>
          </w:r>
          <w:hyperlink w:anchor="_Toc478375776" w:history="1">
            <w:r w:rsidR="005E2BAA" w:rsidRPr="00221E19">
              <w:rPr>
                <w:rStyle w:val="Hyperlink"/>
                <w:noProof/>
              </w:rPr>
              <w:t>Executive summary</w:t>
            </w:r>
            <w:r w:rsidR="005E2BAA">
              <w:rPr>
                <w:noProof/>
                <w:webHidden/>
              </w:rPr>
              <w:tab/>
            </w:r>
            <w:r w:rsidR="005E2BAA">
              <w:rPr>
                <w:noProof/>
                <w:webHidden/>
              </w:rPr>
              <w:fldChar w:fldCharType="begin"/>
            </w:r>
            <w:r w:rsidR="005E2BAA">
              <w:rPr>
                <w:noProof/>
                <w:webHidden/>
              </w:rPr>
              <w:instrText xml:space="preserve"> PAGEREF _Toc478375776 \h </w:instrText>
            </w:r>
            <w:r w:rsidR="005E2BAA">
              <w:rPr>
                <w:noProof/>
                <w:webHidden/>
              </w:rPr>
            </w:r>
            <w:r w:rsidR="005E2BAA">
              <w:rPr>
                <w:noProof/>
                <w:webHidden/>
              </w:rPr>
              <w:fldChar w:fldCharType="separate"/>
            </w:r>
            <w:r w:rsidR="005E2BAA">
              <w:rPr>
                <w:noProof/>
                <w:webHidden/>
              </w:rPr>
              <w:t>i</w:t>
            </w:r>
            <w:r w:rsidR="005E2BAA">
              <w:rPr>
                <w:noProof/>
                <w:webHidden/>
              </w:rPr>
              <w:fldChar w:fldCharType="end"/>
            </w:r>
          </w:hyperlink>
        </w:p>
        <w:p w14:paraId="744EF3E5" w14:textId="77777777" w:rsidR="005E2BAA" w:rsidRDefault="000E611C">
          <w:pPr>
            <w:pStyle w:val="TOC1"/>
            <w:tabs>
              <w:tab w:val="right" w:leader="dot" w:pos="9060"/>
            </w:tabs>
            <w:rPr>
              <w:rFonts w:eastAsiaTheme="minorEastAsia" w:cstheme="minorBidi"/>
              <w:b w:val="0"/>
              <w:bCs w:val="0"/>
              <w:caps w:val="0"/>
              <w:noProof/>
              <w:sz w:val="22"/>
              <w:szCs w:val="22"/>
              <w:lang w:val="en-NZ" w:eastAsia="en-NZ" w:bidi="ar-SA"/>
            </w:rPr>
          </w:pPr>
          <w:hyperlink w:anchor="_Toc478375777" w:history="1">
            <w:r w:rsidR="005E2BAA" w:rsidRPr="00221E19">
              <w:rPr>
                <w:rStyle w:val="Hyperlink"/>
                <w:noProof/>
              </w:rPr>
              <w:t>Part A: Chitin-glucan</w:t>
            </w:r>
            <w:r w:rsidR="005E2BAA">
              <w:rPr>
                <w:noProof/>
                <w:webHidden/>
              </w:rPr>
              <w:tab/>
            </w:r>
            <w:r w:rsidR="005E2BAA">
              <w:rPr>
                <w:noProof/>
                <w:webHidden/>
              </w:rPr>
              <w:fldChar w:fldCharType="begin"/>
            </w:r>
            <w:r w:rsidR="005E2BAA">
              <w:rPr>
                <w:noProof/>
                <w:webHidden/>
              </w:rPr>
              <w:instrText xml:space="preserve"> PAGEREF _Toc478375777 \h </w:instrText>
            </w:r>
            <w:r w:rsidR="005E2BAA">
              <w:rPr>
                <w:noProof/>
                <w:webHidden/>
              </w:rPr>
            </w:r>
            <w:r w:rsidR="005E2BAA">
              <w:rPr>
                <w:noProof/>
                <w:webHidden/>
              </w:rPr>
              <w:fldChar w:fldCharType="separate"/>
            </w:r>
            <w:r w:rsidR="005E2BAA">
              <w:rPr>
                <w:noProof/>
                <w:webHidden/>
              </w:rPr>
              <w:t>3</w:t>
            </w:r>
            <w:r w:rsidR="005E2BAA">
              <w:rPr>
                <w:noProof/>
                <w:webHidden/>
              </w:rPr>
              <w:fldChar w:fldCharType="end"/>
            </w:r>
          </w:hyperlink>
        </w:p>
        <w:p w14:paraId="13EF8F8E" w14:textId="77777777" w:rsidR="005E2BAA" w:rsidRDefault="000E611C">
          <w:pPr>
            <w:pStyle w:val="TOC2"/>
            <w:tabs>
              <w:tab w:val="left" w:pos="660"/>
              <w:tab w:val="right" w:leader="dot" w:pos="9060"/>
            </w:tabs>
            <w:rPr>
              <w:rFonts w:eastAsiaTheme="minorEastAsia" w:cstheme="minorBidi"/>
              <w:smallCaps w:val="0"/>
              <w:noProof/>
              <w:sz w:val="22"/>
              <w:szCs w:val="22"/>
              <w:lang w:val="en-NZ" w:eastAsia="en-NZ" w:bidi="ar-SA"/>
            </w:rPr>
          </w:pPr>
          <w:hyperlink w:anchor="_Toc478375778" w:history="1">
            <w:r w:rsidR="005E2BAA" w:rsidRPr="00221E19">
              <w:rPr>
                <w:rStyle w:val="Hyperlink"/>
                <w:noProof/>
              </w:rPr>
              <w:t>1</w:t>
            </w:r>
            <w:r w:rsidR="005E2BAA">
              <w:rPr>
                <w:rFonts w:eastAsiaTheme="minorEastAsia" w:cstheme="minorBidi"/>
                <w:smallCaps w:val="0"/>
                <w:noProof/>
                <w:sz w:val="22"/>
                <w:szCs w:val="22"/>
                <w:lang w:val="en-NZ" w:eastAsia="en-NZ" w:bidi="ar-SA"/>
              </w:rPr>
              <w:tab/>
            </w:r>
            <w:r w:rsidR="005E2BAA" w:rsidRPr="00221E19">
              <w:rPr>
                <w:rStyle w:val="Hyperlink"/>
                <w:noProof/>
              </w:rPr>
              <w:t>Introduction</w:t>
            </w:r>
            <w:r w:rsidR="005E2BAA">
              <w:rPr>
                <w:noProof/>
                <w:webHidden/>
              </w:rPr>
              <w:tab/>
            </w:r>
            <w:r w:rsidR="005E2BAA">
              <w:rPr>
                <w:noProof/>
                <w:webHidden/>
              </w:rPr>
              <w:fldChar w:fldCharType="begin"/>
            </w:r>
            <w:r w:rsidR="005E2BAA">
              <w:rPr>
                <w:noProof/>
                <w:webHidden/>
              </w:rPr>
              <w:instrText xml:space="preserve"> PAGEREF _Toc478375778 \h </w:instrText>
            </w:r>
            <w:r w:rsidR="005E2BAA">
              <w:rPr>
                <w:noProof/>
                <w:webHidden/>
              </w:rPr>
            </w:r>
            <w:r w:rsidR="005E2BAA">
              <w:rPr>
                <w:noProof/>
                <w:webHidden/>
              </w:rPr>
              <w:fldChar w:fldCharType="separate"/>
            </w:r>
            <w:r w:rsidR="005E2BAA">
              <w:rPr>
                <w:noProof/>
                <w:webHidden/>
              </w:rPr>
              <w:t>3</w:t>
            </w:r>
            <w:r w:rsidR="005E2BAA">
              <w:rPr>
                <w:noProof/>
                <w:webHidden/>
              </w:rPr>
              <w:fldChar w:fldCharType="end"/>
            </w:r>
          </w:hyperlink>
        </w:p>
        <w:p w14:paraId="6862FBB2"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779" w:history="1">
            <w:r w:rsidR="005E2BAA" w:rsidRPr="00221E19">
              <w:rPr>
                <w:rStyle w:val="Hyperlink"/>
                <w:noProof/>
              </w:rPr>
              <w:t>1.1</w:t>
            </w:r>
            <w:r w:rsidR="005E2BAA">
              <w:rPr>
                <w:rFonts w:eastAsiaTheme="minorEastAsia" w:cstheme="minorBidi"/>
                <w:i w:val="0"/>
                <w:iCs w:val="0"/>
                <w:noProof/>
                <w:sz w:val="22"/>
                <w:szCs w:val="22"/>
                <w:lang w:val="en-NZ" w:eastAsia="en-NZ" w:bidi="ar-SA"/>
              </w:rPr>
              <w:tab/>
            </w:r>
            <w:r w:rsidR="005E2BAA" w:rsidRPr="00221E19">
              <w:rPr>
                <w:rStyle w:val="Hyperlink"/>
                <w:noProof/>
              </w:rPr>
              <w:t>Description</w:t>
            </w:r>
            <w:r w:rsidR="005E2BAA">
              <w:rPr>
                <w:noProof/>
                <w:webHidden/>
              </w:rPr>
              <w:tab/>
            </w:r>
            <w:r w:rsidR="005E2BAA">
              <w:rPr>
                <w:noProof/>
                <w:webHidden/>
              </w:rPr>
              <w:fldChar w:fldCharType="begin"/>
            </w:r>
            <w:r w:rsidR="005E2BAA">
              <w:rPr>
                <w:noProof/>
                <w:webHidden/>
              </w:rPr>
              <w:instrText xml:space="preserve"> PAGEREF _Toc478375779 \h </w:instrText>
            </w:r>
            <w:r w:rsidR="005E2BAA">
              <w:rPr>
                <w:noProof/>
                <w:webHidden/>
              </w:rPr>
            </w:r>
            <w:r w:rsidR="005E2BAA">
              <w:rPr>
                <w:noProof/>
                <w:webHidden/>
              </w:rPr>
              <w:fldChar w:fldCharType="separate"/>
            </w:r>
            <w:r w:rsidR="005E2BAA">
              <w:rPr>
                <w:noProof/>
                <w:webHidden/>
              </w:rPr>
              <w:t>3</w:t>
            </w:r>
            <w:r w:rsidR="005E2BAA">
              <w:rPr>
                <w:noProof/>
                <w:webHidden/>
              </w:rPr>
              <w:fldChar w:fldCharType="end"/>
            </w:r>
          </w:hyperlink>
        </w:p>
        <w:p w14:paraId="385ED5F3"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780" w:history="1">
            <w:r w:rsidR="005E2BAA" w:rsidRPr="00221E19">
              <w:rPr>
                <w:rStyle w:val="Hyperlink"/>
                <w:noProof/>
              </w:rPr>
              <w:t>1.2</w:t>
            </w:r>
            <w:r w:rsidR="005E2BAA">
              <w:rPr>
                <w:rFonts w:eastAsiaTheme="minorEastAsia" w:cstheme="minorBidi"/>
                <w:i w:val="0"/>
                <w:iCs w:val="0"/>
                <w:noProof/>
                <w:sz w:val="22"/>
                <w:szCs w:val="22"/>
                <w:lang w:val="en-NZ" w:eastAsia="en-NZ" w:bidi="ar-SA"/>
              </w:rPr>
              <w:tab/>
            </w:r>
            <w:r w:rsidR="005E2BAA" w:rsidRPr="00221E19">
              <w:rPr>
                <w:rStyle w:val="Hyperlink"/>
                <w:noProof/>
              </w:rPr>
              <w:t>Current permissions</w:t>
            </w:r>
            <w:r w:rsidR="005E2BAA">
              <w:rPr>
                <w:noProof/>
                <w:webHidden/>
              </w:rPr>
              <w:tab/>
            </w:r>
            <w:r w:rsidR="005E2BAA">
              <w:rPr>
                <w:noProof/>
                <w:webHidden/>
              </w:rPr>
              <w:fldChar w:fldCharType="begin"/>
            </w:r>
            <w:r w:rsidR="005E2BAA">
              <w:rPr>
                <w:noProof/>
                <w:webHidden/>
              </w:rPr>
              <w:instrText xml:space="preserve"> PAGEREF _Toc478375780 \h </w:instrText>
            </w:r>
            <w:r w:rsidR="005E2BAA">
              <w:rPr>
                <w:noProof/>
                <w:webHidden/>
              </w:rPr>
            </w:r>
            <w:r w:rsidR="005E2BAA">
              <w:rPr>
                <w:noProof/>
                <w:webHidden/>
              </w:rPr>
              <w:fldChar w:fldCharType="separate"/>
            </w:r>
            <w:r w:rsidR="005E2BAA">
              <w:rPr>
                <w:noProof/>
                <w:webHidden/>
              </w:rPr>
              <w:t>3</w:t>
            </w:r>
            <w:r w:rsidR="005E2BAA">
              <w:rPr>
                <w:noProof/>
                <w:webHidden/>
              </w:rPr>
              <w:fldChar w:fldCharType="end"/>
            </w:r>
          </w:hyperlink>
        </w:p>
        <w:p w14:paraId="29428F8A"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781" w:history="1">
            <w:r w:rsidR="005E2BAA" w:rsidRPr="00221E19">
              <w:rPr>
                <w:rStyle w:val="Hyperlink"/>
                <w:noProof/>
              </w:rPr>
              <w:t>1.3</w:t>
            </w:r>
            <w:r w:rsidR="005E2BAA">
              <w:rPr>
                <w:rFonts w:eastAsiaTheme="minorEastAsia" w:cstheme="minorBidi"/>
                <w:i w:val="0"/>
                <w:iCs w:val="0"/>
                <w:noProof/>
                <w:sz w:val="22"/>
                <w:szCs w:val="22"/>
                <w:lang w:val="en-NZ" w:eastAsia="en-NZ" w:bidi="ar-SA"/>
              </w:rPr>
              <w:tab/>
            </w:r>
            <w:r w:rsidR="005E2BAA" w:rsidRPr="00221E19">
              <w:rPr>
                <w:rStyle w:val="Hyperlink"/>
                <w:noProof/>
              </w:rPr>
              <w:t>Risk assessment questions</w:t>
            </w:r>
            <w:r w:rsidR="005E2BAA">
              <w:rPr>
                <w:noProof/>
                <w:webHidden/>
              </w:rPr>
              <w:tab/>
            </w:r>
            <w:r w:rsidR="005E2BAA">
              <w:rPr>
                <w:noProof/>
                <w:webHidden/>
              </w:rPr>
              <w:fldChar w:fldCharType="begin"/>
            </w:r>
            <w:r w:rsidR="005E2BAA">
              <w:rPr>
                <w:noProof/>
                <w:webHidden/>
              </w:rPr>
              <w:instrText xml:space="preserve"> PAGEREF _Toc478375781 \h </w:instrText>
            </w:r>
            <w:r w:rsidR="005E2BAA">
              <w:rPr>
                <w:noProof/>
                <w:webHidden/>
              </w:rPr>
            </w:r>
            <w:r w:rsidR="005E2BAA">
              <w:rPr>
                <w:noProof/>
                <w:webHidden/>
              </w:rPr>
              <w:fldChar w:fldCharType="separate"/>
            </w:r>
            <w:r w:rsidR="005E2BAA">
              <w:rPr>
                <w:noProof/>
                <w:webHidden/>
              </w:rPr>
              <w:t>4</w:t>
            </w:r>
            <w:r w:rsidR="005E2BAA">
              <w:rPr>
                <w:noProof/>
                <w:webHidden/>
              </w:rPr>
              <w:fldChar w:fldCharType="end"/>
            </w:r>
          </w:hyperlink>
        </w:p>
        <w:p w14:paraId="798966D0" w14:textId="77777777" w:rsidR="005E2BAA" w:rsidRDefault="000E611C">
          <w:pPr>
            <w:pStyle w:val="TOC2"/>
            <w:tabs>
              <w:tab w:val="left" w:pos="660"/>
              <w:tab w:val="right" w:leader="dot" w:pos="9060"/>
            </w:tabs>
            <w:rPr>
              <w:rFonts w:eastAsiaTheme="minorEastAsia" w:cstheme="minorBidi"/>
              <w:smallCaps w:val="0"/>
              <w:noProof/>
              <w:sz w:val="22"/>
              <w:szCs w:val="22"/>
              <w:lang w:val="en-NZ" w:eastAsia="en-NZ" w:bidi="ar-SA"/>
            </w:rPr>
          </w:pPr>
          <w:hyperlink w:anchor="_Toc478375782" w:history="1">
            <w:r w:rsidR="005E2BAA" w:rsidRPr="00221E19">
              <w:rPr>
                <w:rStyle w:val="Hyperlink"/>
                <w:noProof/>
              </w:rPr>
              <w:t>2</w:t>
            </w:r>
            <w:r w:rsidR="005E2BAA">
              <w:rPr>
                <w:rFonts w:eastAsiaTheme="minorEastAsia" w:cstheme="minorBidi"/>
                <w:smallCaps w:val="0"/>
                <w:noProof/>
                <w:sz w:val="22"/>
                <w:szCs w:val="22"/>
                <w:lang w:val="en-NZ" w:eastAsia="en-NZ" w:bidi="ar-SA"/>
              </w:rPr>
              <w:tab/>
            </w:r>
            <w:r w:rsidR="005E2BAA" w:rsidRPr="00221E19">
              <w:rPr>
                <w:rStyle w:val="Hyperlink"/>
                <w:noProof/>
              </w:rPr>
              <w:t>Food technology assessment</w:t>
            </w:r>
            <w:r w:rsidR="005E2BAA">
              <w:rPr>
                <w:noProof/>
                <w:webHidden/>
              </w:rPr>
              <w:tab/>
            </w:r>
            <w:r w:rsidR="005E2BAA">
              <w:rPr>
                <w:noProof/>
                <w:webHidden/>
              </w:rPr>
              <w:fldChar w:fldCharType="begin"/>
            </w:r>
            <w:r w:rsidR="005E2BAA">
              <w:rPr>
                <w:noProof/>
                <w:webHidden/>
              </w:rPr>
              <w:instrText xml:space="preserve"> PAGEREF _Toc478375782 \h </w:instrText>
            </w:r>
            <w:r w:rsidR="005E2BAA">
              <w:rPr>
                <w:noProof/>
                <w:webHidden/>
              </w:rPr>
            </w:r>
            <w:r w:rsidR="005E2BAA">
              <w:rPr>
                <w:noProof/>
                <w:webHidden/>
              </w:rPr>
              <w:fldChar w:fldCharType="separate"/>
            </w:r>
            <w:r w:rsidR="005E2BAA">
              <w:rPr>
                <w:noProof/>
                <w:webHidden/>
              </w:rPr>
              <w:t>4</w:t>
            </w:r>
            <w:r w:rsidR="005E2BAA">
              <w:rPr>
                <w:noProof/>
                <w:webHidden/>
              </w:rPr>
              <w:fldChar w:fldCharType="end"/>
            </w:r>
          </w:hyperlink>
        </w:p>
        <w:p w14:paraId="273A36EB"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783" w:history="1">
            <w:r w:rsidR="005E2BAA" w:rsidRPr="00221E19">
              <w:rPr>
                <w:rStyle w:val="Hyperlink"/>
                <w:noProof/>
              </w:rPr>
              <w:t>2.1</w:t>
            </w:r>
            <w:r w:rsidR="005E2BAA">
              <w:rPr>
                <w:rFonts w:eastAsiaTheme="minorEastAsia" w:cstheme="minorBidi"/>
                <w:i w:val="0"/>
                <w:iCs w:val="0"/>
                <w:noProof/>
                <w:sz w:val="22"/>
                <w:szCs w:val="22"/>
                <w:lang w:val="en-NZ" w:eastAsia="en-NZ" w:bidi="ar-SA"/>
              </w:rPr>
              <w:tab/>
            </w:r>
            <w:r w:rsidR="005E2BAA" w:rsidRPr="00221E19">
              <w:rPr>
                <w:rStyle w:val="Hyperlink"/>
                <w:noProof/>
              </w:rPr>
              <w:t>Technological purpose</w:t>
            </w:r>
            <w:r w:rsidR="005E2BAA">
              <w:rPr>
                <w:noProof/>
                <w:webHidden/>
              </w:rPr>
              <w:tab/>
            </w:r>
            <w:r w:rsidR="005E2BAA">
              <w:rPr>
                <w:noProof/>
                <w:webHidden/>
              </w:rPr>
              <w:fldChar w:fldCharType="begin"/>
            </w:r>
            <w:r w:rsidR="005E2BAA">
              <w:rPr>
                <w:noProof/>
                <w:webHidden/>
              </w:rPr>
              <w:instrText xml:space="preserve"> PAGEREF _Toc478375783 \h </w:instrText>
            </w:r>
            <w:r w:rsidR="005E2BAA">
              <w:rPr>
                <w:noProof/>
                <w:webHidden/>
              </w:rPr>
            </w:r>
            <w:r w:rsidR="005E2BAA">
              <w:rPr>
                <w:noProof/>
                <w:webHidden/>
              </w:rPr>
              <w:fldChar w:fldCharType="separate"/>
            </w:r>
            <w:r w:rsidR="005E2BAA">
              <w:rPr>
                <w:noProof/>
                <w:webHidden/>
              </w:rPr>
              <w:t>4</w:t>
            </w:r>
            <w:r w:rsidR="005E2BAA">
              <w:rPr>
                <w:noProof/>
                <w:webHidden/>
              </w:rPr>
              <w:fldChar w:fldCharType="end"/>
            </w:r>
          </w:hyperlink>
        </w:p>
        <w:p w14:paraId="7F59AADC"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784" w:history="1">
            <w:r w:rsidR="005E2BAA" w:rsidRPr="00221E19">
              <w:rPr>
                <w:rStyle w:val="Hyperlink"/>
                <w:noProof/>
              </w:rPr>
              <w:t>2.2</w:t>
            </w:r>
            <w:r w:rsidR="005E2BAA">
              <w:rPr>
                <w:rFonts w:eastAsiaTheme="minorEastAsia" w:cstheme="minorBidi"/>
                <w:i w:val="0"/>
                <w:iCs w:val="0"/>
                <w:noProof/>
                <w:sz w:val="22"/>
                <w:szCs w:val="22"/>
                <w:lang w:val="en-NZ" w:eastAsia="en-NZ" w:bidi="ar-SA"/>
              </w:rPr>
              <w:tab/>
            </w:r>
            <w:r w:rsidR="005E2BAA" w:rsidRPr="00221E19">
              <w:rPr>
                <w:rStyle w:val="Hyperlink"/>
                <w:noProof/>
              </w:rPr>
              <w:t>Technological justification</w:t>
            </w:r>
            <w:r w:rsidR="005E2BAA">
              <w:rPr>
                <w:noProof/>
                <w:webHidden/>
              </w:rPr>
              <w:tab/>
            </w:r>
            <w:r w:rsidR="005E2BAA">
              <w:rPr>
                <w:noProof/>
                <w:webHidden/>
              </w:rPr>
              <w:fldChar w:fldCharType="begin"/>
            </w:r>
            <w:r w:rsidR="005E2BAA">
              <w:rPr>
                <w:noProof/>
                <w:webHidden/>
              </w:rPr>
              <w:instrText xml:space="preserve"> PAGEREF _Toc478375784 \h </w:instrText>
            </w:r>
            <w:r w:rsidR="005E2BAA">
              <w:rPr>
                <w:noProof/>
                <w:webHidden/>
              </w:rPr>
            </w:r>
            <w:r w:rsidR="005E2BAA">
              <w:rPr>
                <w:noProof/>
                <w:webHidden/>
              </w:rPr>
              <w:fldChar w:fldCharType="separate"/>
            </w:r>
            <w:r w:rsidR="005E2BAA">
              <w:rPr>
                <w:noProof/>
                <w:webHidden/>
              </w:rPr>
              <w:t>5</w:t>
            </w:r>
            <w:r w:rsidR="005E2BAA">
              <w:rPr>
                <w:noProof/>
                <w:webHidden/>
              </w:rPr>
              <w:fldChar w:fldCharType="end"/>
            </w:r>
          </w:hyperlink>
        </w:p>
        <w:p w14:paraId="2DFCC3CB"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785" w:history="1">
            <w:r w:rsidR="005E2BAA" w:rsidRPr="00221E19">
              <w:rPr>
                <w:rStyle w:val="Hyperlink"/>
                <w:noProof/>
              </w:rPr>
              <w:t>2.3</w:t>
            </w:r>
            <w:r w:rsidR="005E2BAA">
              <w:rPr>
                <w:rFonts w:eastAsiaTheme="minorEastAsia" w:cstheme="minorBidi"/>
                <w:i w:val="0"/>
                <w:iCs w:val="0"/>
                <w:noProof/>
                <w:sz w:val="22"/>
                <w:szCs w:val="22"/>
                <w:lang w:val="en-NZ" w:eastAsia="en-NZ" w:bidi="ar-SA"/>
              </w:rPr>
              <w:tab/>
            </w:r>
            <w:r w:rsidR="005E2BAA" w:rsidRPr="00221E19">
              <w:rPr>
                <w:rStyle w:val="Hyperlink"/>
                <w:noProof/>
              </w:rPr>
              <w:t>Chemical properties</w:t>
            </w:r>
            <w:r w:rsidR="005E2BAA">
              <w:rPr>
                <w:noProof/>
                <w:webHidden/>
              </w:rPr>
              <w:tab/>
            </w:r>
            <w:r w:rsidR="005E2BAA">
              <w:rPr>
                <w:noProof/>
                <w:webHidden/>
              </w:rPr>
              <w:fldChar w:fldCharType="begin"/>
            </w:r>
            <w:r w:rsidR="005E2BAA">
              <w:rPr>
                <w:noProof/>
                <w:webHidden/>
              </w:rPr>
              <w:instrText xml:space="preserve"> PAGEREF _Toc478375785 \h </w:instrText>
            </w:r>
            <w:r w:rsidR="005E2BAA">
              <w:rPr>
                <w:noProof/>
                <w:webHidden/>
              </w:rPr>
            </w:r>
            <w:r w:rsidR="005E2BAA">
              <w:rPr>
                <w:noProof/>
                <w:webHidden/>
              </w:rPr>
              <w:fldChar w:fldCharType="separate"/>
            </w:r>
            <w:r w:rsidR="005E2BAA">
              <w:rPr>
                <w:noProof/>
                <w:webHidden/>
              </w:rPr>
              <w:t>6</w:t>
            </w:r>
            <w:r w:rsidR="005E2BAA">
              <w:rPr>
                <w:noProof/>
                <w:webHidden/>
              </w:rPr>
              <w:fldChar w:fldCharType="end"/>
            </w:r>
          </w:hyperlink>
        </w:p>
        <w:p w14:paraId="54EFFE9D"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786" w:history="1">
            <w:r w:rsidR="005E2BAA" w:rsidRPr="00221E19">
              <w:rPr>
                <w:rStyle w:val="Hyperlink"/>
                <w:noProof/>
              </w:rPr>
              <w:t>2.4</w:t>
            </w:r>
            <w:r w:rsidR="005E2BAA">
              <w:rPr>
                <w:rFonts w:eastAsiaTheme="minorEastAsia" w:cstheme="minorBidi"/>
                <w:i w:val="0"/>
                <w:iCs w:val="0"/>
                <w:noProof/>
                <w:sz w:val="22"/>
                <w:szCs w:val="22"/>
                <w:lang w:val="en-NZ" w:eastAsia="en-NZ" w:bidi="ar-SA"/>
              </w:rPr>
              <w:tab/>
            </w:r>
            <w:r w:rsidR="005E2BAA" w:rsidRPr="00221E19">
              <w:rPr>
                <w:rStyle w:val="Hyperlink"/>
                <w:noProof/>
              </w:rPr>
              <w:t>Analytical method for detection</w:t>
            </w:r>
            <w:r w:rsidR="005E2BAA">
              <w:rPr>
                <w:noProof/>
                <w:webHidden/>
              </w:rPr>
              <w:tab/>
            </w:r>
            <w:r w:rsidR="005E2BAA">
              <w:rPr>
                <w:noProof/>
                <w:webHidden/>
              </w:rPr>
              <w:fldChar w:fldCharType="begin"/>
            </w:r>
            <w:r w:rsidR="005E2BAA">
              <w:rPr>
                <w:noProof/>
                <w:webHidden/>
              </w:rPr>
              <w:instrText xml:space="preserve"> PAGEREF _Toc478375786 \h </w:instrText>
            </w:r>
            <w:r w:rsidR="005E2BAA">
              <w:rPr>
                <w:noProof/>
                <w:webHidden/>
              </w:rPr>
            </w:r>
            <w:r w:rsidR="005E2BAA">
              <w:rPr>
                <w:noProof/>
                <w:webHidden/>
              </w:rPr>
              <w:fldChar w:fldCharType="separate"/>
            </w:r>
            <w:r w:rsidR="005E2BAA">
              <w:rPr>
                <w:noProof/>
                <w:webHidden/>
              </w:rPr>
              <w:t>7</w:t>
            </w:r>
            <w:r w:rsidR="005E2BAA">
              <w:rPr>
                <w:noProof/>
                <w:webHidden/>
              </w:rPr>
              <w:fldChar w:fldCharType="end"/>
            </w:r>
          </w:hyperlink>
        </w:p>
        <w:p w14:paraId="1607ABE6"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787" w:history="1">
            <w:r w:rsidR="005E2BAA" w:rsidRPr="00221E19">
              <w:rPr>
                <w:rStyle w:val="Hyperlink"/>
                <w:noProof/>
              </w:rPr>
              <w:t>2.5</w:t>
            </w:r>
            <w:r w:rsidR="005E2BAA">
              <w:rPr>
                <w:rFonts w:eastAsiaTheme="minorEastAsia" w:cstheme="minorBidi"/>
                <w:i w:val="0"/>
                <w:iCs w:val="0"/>
                <w:noProof/>
                <w:sz w:val="22"/>
                <w:szCs w:val="22"/>
                <w:lang w:val="en-NZ" w:eastAsia="en-NZ" w:bidi="ar-SA"/>
              </w:rPr>
              <w:tab/>
            </w:r>
            <w:r w:rsidR="005E2BAA" w:rsidRPr="00221E19">
              <w:rPr>
                <w:rStyle w:val="Hyperlink"/>
                <w:noProof/>
              </w:rPr>
              <w:t>Manufacturing process</w:t>
            </w:r>
            <w:r w:rsidR="005E2BAA">
              <w:rPr>
                <w:noProof/>
                <w:webHidden/>
              </w:rPr>
              <w:tab/>
            </w:r>
            <w:r w:rsidR="005E2BAA">
              <w:rPr>
                <w:noProof/>
                <w:webHidden/>
              </w:rPr>
              <w:fldChar w:fldCharType="begin"/>
            </w:r>
            <w:r w:rsidR="005E2BAA">
              <w:rPr>
                <w:noProof/>
                <w:webHidden/>
              </w:rPr>
              <w:instrText xml:space="preserve"> PAGEREF _Toc478375787 \h </w:instrText>
            </w:r>
            <w:r w:rsidR="005E2BAA">
              <w:rPr>
                <w:noProof/>
                <w:webHidden/>
              </w:rPr>
            </w:r>
            <w:r w:rsidR="005E2BAA">
              <w:rPr>
                <w:noProof/>
                <w:webHidden/>
              </w:rPr>
              <w:fldChar w:fldCharType="separate"/>
            </w:r>
            <w:r w:rsidR="005E2BAA">
              <w:rPr>
                <w:noProof/>
                <w:webHidden/>
              </w:rPr>
              <w:t>7</w:t>
            </w:r>
            <w:r w:rsidR="005E2BAA">
              <w:rPr>
                <w:noProof/>
                <w:webHidden/>
              </w:rPr>
              <w:fldChar w:fldCharType="end"/>
            </w:r>
          </w:hyperlink>
        </w:p>
        <w:p w14:paraId="3F5A4862"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788" w:history="1">
            <w:r w:rsidR="005E2BAA" w:rsidRPr="00221E19">
              <w:rPr>
                <w:rStyle w:val="Hyperlink"/>
                <w:noProof/>
              </w:rPr>
              <w:t>2.6</w:t>
            </w:r>
            <w:r w:rsidR="005E2BAA">
              <w:rPr>
                <w:rFonts w:eastAsiaTheme="minorEastAsia" w:cstheme="minorBidi"/>
                <w:i w:val="0"/>
                <w:iCs w:val="0"/>
                <w:noProof/>
                <w:sz w:val="22"/>
                <w:szCs w:val="22"/>
                <w:lang w:val="en-NZ" w:eastAsia="en-NZ" w:bidi="ar-SA"/>
              </w:rPr>
              <w:tab/>
            </w:r>
            <w:r w:rsidR="005E2BAA" w:rsidRPr="00221E19">
              <w:rPr>
                <w:rStyle w:val="Hyperlink"/>
                <w:noProof/>
              </w:rPr>
              <w:t>Product specification</w:t>
            </w:r>
            <w:r w:rsidR="005E2BAA">
              <w:rPr>
                <w:noProof/>
                <w:webHidden/>
              </w:rPr>
              <w:tab/>
            </w:r>
            <w:r w:rsidR="005E2BAA">
              <w:rPr>
                <w:noProof/>
                <w:webHidden/>
              </w:rPr>
              <w:fldChar w:fldCharType="begin"/>
            </w:r>
            <w:r w:rsidR="005E2BAA">
              <w:rPr>
                <w:noProof/>
                <w:webHidden/>
              </w:rPr>
              <w:instrText xml:space="preserve"> PAGEREF _Toc478375788 \h </w:instrText>
            </w:r>
            <w:r w:rsidR="005E2BAA">
              <w:rPr>
                <w:noProof/>
                <w:webHidden/>
              </w:rPr>
            </w:r>
            <w:r w:rsidR="005E2BAA">
              <w:rPr>
                <w:noProof/>
                <w:webHidden/>
              </w:rPr>
              <w:fldChar w:fldCharType="separate"/>
            </w:r>
            <w:r w:rsidR="005E2BAA">
              <w:rPr>
                <w:noProof/>
                <w:webHidden/>
              </w:rPr>
              <w:t>7</w:t>
            </w:r>
            <w:r w:rsidR="005E2BAA">
              <w:rPr>
                <w:noProof/>
                <w:webHidden/>
              </w:rPr>
              <w:fldChar w:fldCharType="end"/>
            </w:r>
          </w:hyperlink>
        </w:p>
        <w:p w14:paraId="0597A96D"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789" w:history="1">
            <w:r w:rsidR="005E2BAA" w:rsidRPr="00221E19">
              <w:rPr>
                <w:rStyle w:val="Hyperlink"/>
                <w:noProof/>
              </w:rPr>
              <w:t>2.7</w:t>
            </w:r>
            <w:r w:rsidR="005E2BAA">
              <w:rPr>
                <w:rFonts w:eastAsiaTheme="minorEastAsia" w:cstheme="minorBidi"/>
                <w:i w:val="0"/>
                <w:iCs w:val="0"/>
                <w:noProof/>
                <w:sz w:val="22"/>
                <w:szCs w:val="22"/>
                <w:lang w:val="en-NZ" w:eastAsia="en-NZ" w:bidi="ar-SA"/>
              </w:rPr>
              <w:tab/>
            </w:r>
            <w:r w:rsidR="005E2BAA" w:rsidRPr="00221E19">
              <w:rPr>
                <w:rStyle w:val="Hyperlink"/>
                <w:noProof/>
              </w:rPr>
              <w:t>Food technology conclusion</w:t>
            </w:r>
            <w:r w:rsidR="005E2BAA">
              <w:rPr>
                <w:noProof/>
                <w:webHidden/>
              </w:rPr>
              <w:tab/>
            </w:r>
            <w:r w:rsidR="005E2BAA">
              <w:rPr>
                <w:noProof/>
                <w:webHidden/>
              </w:rPr>
              <w:fldChar w:fldCharType="begin"/>
            </w:r>
            <w:r w:rsidR="005E2BAA">
              <w:rPr>
                <w:noProof/>
                <w:webHidden/>
              </w:rPr>
              <w:instrText xml:space="preserve"> PAGEREF _Toc478375789 \h </w:instrText>
            </w:r>
            <w:r w:rsidR="005E2BAA">
              <w:rPr>
                <w:noProof/>
                <w:webHidden/>
              </w:rPr>
            </w:r>
            <w:r w:rsidR="005E2BAA">
              <w:rPr>
                <w:noProof/>
                <w:webHidden/>
              </w:rPr>
              <w:fldChar w:fldCharType="separate"/>
            </w:r>
            <w:r w:rsidR="005E2BAA">
              <w:rPr>
                <w:noProof/>
                <w:webHidden/>
              </w:rPr>
              <w:t>7</w:t>
            </w:r>
            <w:r w:rsidR="005E2BAA">
              <w:rPr>
                <w:noProof/>
                <w:webHidden/>
              </w:rPr>
              <w:fldChar w:fldCharType="end"/>
            </w:r>
          </w:hyperlink>
        </w:p>
        <w:p w14:paraId="264B7B90" w14:textId="77777777" w:rsidR="005E2BAA" w:rsidRDefault="000E611C">
          <w:pPr>
            <w:pStyle w:val="TOC2"/>
            <w:tabs>
              <w:tab w:val="left" w:pos="660"/>
              <w:tab w:val="right" w:leader="dot" w:pos="9060"/>
            </w:tabs>
            <w:rPr>
              <w:rFonts w:eastAsiaTheme="minorEastAsia" w:cstheme="minorBidi"/>
              <w:smallCaps w:val="0"/>
              <w:noProof/>
              <w:sz w:val="22"/>
              <w:szCs w:val="22"/>
              <w:lang w:val="en-NZ" w:eastAsia="en-NZ" w:bidi="ar-SA"/>
            </w:rPr>
          </w:pPr>
          <w:hyperlink w:anchor="_Toc478375790" w:history="1">
            <w:r w:rsidR="005E2BAA" w:rsidRPr="00221E19">
              <w:rPr>
                <w:rStyle w:val="Hyperlink"/>
                <w:noProof/>
              </w:rPr>
              <w:t>3</w:t>
            </w:r>
            <w:r w:rsidR="005E2BAA">
              <w:rPr>
                <w:rFonts w:eastAsiaTheme="minorEastAsia" w:cstheme="minorBidi"/>
                <w:smallCaps w:val="0"/>
                <w:noProof/>
                <w:sz w:val="22"/>
                <w:szCs w:val="22"/>
                <w:lang w:val="en-NZ" w:eastAsia="en-NZ" w:bidi="ar-SA"/>
              </w:rPr>
              <w:tab/>
            </w:r>
            <w:r w:rsidR="005E2BAA" w:rsidRPr="00221E19">
              <w:rPr>
                <w:rStyle w:val="Hyperlink"/>
                <w:noProof/>
              </w:rPr>
              <w:t>Hazard assessment</w:t>
            </w:r>
            <w:r w:rsidR="005E2BAA">
              <w:rPr>
                <w:noProof/>
                <w:webHidden/>
              </w:rPr>
              <w:tab/>
            </w:r>
            <w:r w:rsidR="005E2BAA">
              <w:rPr>
                <w:noProof/>
                <w:webHidden/>
              </w:rPr>
              <w:fldChar w:fldCharType="begin"/>
            </w:r>
            <w:r w:rsidR="005E2BAA">
              <w:rPr>
                <w:noProof/>
                <w:webHidden/>
              </w:rPr>
              <w:instrText xml:space="preserve"> PAGEREF _Toc478375790 \h </w:instrText>
            </w:r>
            <w:r w:rsidR="005E2BAA">
              <w:rPr>
                <w:noProof/>
                <w:webHidden/>
              </w:rPr>
            </w:r>
            <w:r w:rsidR="005E2BAA">
              <w:rPr>
                <w:noProof/>
                <w:webHidden/>
              </w:rPr>
              <w:fldChar w:fldCharType="separate"/>
            </w:r>
            <w:r w:rsidR="005E2BAA">
              <w:rPr>
                <w:noProof/>
                <w:webHidden/>
              </w:rPr>
              <w:t>7</w:t>
            </w:r>
            <w:r w:rsidR="005E2BAA">
              <w:rPr>
                <w:noProof/>
                <w:webHidden/>
              </w:rPr>
              <w:fldChar w:fldCharType="end"/>
            </w:r>
          </w:hyperlink>
        </w:p>
        <w:p w14:paraId="38D0094C"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791" w:history="1">
            <w:r w:rsidR="005E2BAA" w:rsidRPr="00221E19">
              <w:rPr>
                <w:rStyle w:val="Hyperlink"/>
                <w:noProof/>
              </w:rPr>
              <w:t>3.1</w:t>
            </w:r>
            <w:r w:rsidR="005E2BAA">
              <w:rPr>
                <w:rFonts w:eastAsiaTheme="minorEastAsia" w:cstheme="minorBidi"/>
                <w:i w:val="0"/>
                <w:iCs w:val="0"/>
                <w:noProof/>
                <w:sz w:val="22"/>
                <w:szCs w:val="22"/>
                <w:lang w:val="en-NZ" w:eastAsia="en-NZ" w:bidi="ar-SA"/>
              </w:rPr>
              <w:tab/>
            </w:r>
            <w:r w:rsidR="005E2BAA" w:rsidRPr="00221E19">
              <w:rPr>
                <w:rStyle w:val="Hyperlink"/>
                <w:noProof/>
              </w:rPr>
              <w:t>Toxicokinetics</w:t>
            </w:r>
            <w:r w:rsidR="005E2BAA">
              <w:rPr>
                <w:noProof/>
                <w:webHidden/>
              </w:rPr>
              <w:tab/>
            </w:r>
            <w:r w:rsidR="005E2BAA">
              <w:rPr>
                <w:noProof/>
                <w:webHidden/>
              </w:rPr>
              <w:fldChar w:fldCharType="begin"/>
            </w:r>
            <w:r w:rsidR="005E2BAA">
              <w:rPr>
                <w:noProof/>
                <w:webHidden/>
              </w:rPr>
              <w:instrText xml:space="preserve"> PAGEREF _Toc478375791 \h </w:instrText>
            </w:r>
            <w:r w:rsidR="005E2BAA">
              <w:rPr>
                <w:noProof/>
                <w:webHidden/>
              </w:rPr>
            </w:r>
            <w:r w:rsidR="005E2BAA">
              <w:rPr>
                <w:noProof/>
                <w:webHidden/>
              </w:rPr>
              <w:fldChar w:fldCharType="separate"/>
            </w:r>
            <w:r w:rsidR="005E2BAA">
              <w:rPr>
                <w:noProof/>
                <w:webHidden/>
              </w:rPr>
              <w:t>7</w:t>
            </w:r>
            <w:r w:rsidR="005E2BAA">
              <w:rPr>
                <w:noProof/>
                <w:webHidden/>
              </w:rPr>
              <w:fldChar w:fldCharType="end"/>
            </w:r>
          </w:hyperlink>
        </w:p>
        <w:p w14:paraId="2001751D"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792" w:history="1">
            <w:r w:rsidR="005E2BAA" w:rsidRPr="00221E19">
              <w:rPr>
                <w:rStyle w:val="Hyperlink"/>
                <w:noProof/>
              </w:rPr>
              <w:t>3.2</w:t>
            </w:r>
            <w:r w:rsidR="005E2BAA">
              <w:rPr>
                <w:rFonts w:eastAsiaTheme="minorEastAsia" w:cstheme="minorBidi"/>
                <w:i w:val="0"/>
                <w:iCs w:val="0"/>
                <w:noProof/>
                <w:sz w:val="22"/>
                <w:szCs w:val="22"/>
                <w:lang w:val="en-NZ" w:eastAsia="en-NZ" w:bidi="ar-SA"/>
              </w:rPr>
              <w:tab/>
            </w:r>
            <w:r w:rsidR="005E2BAA" w:rsidRPr="00221E19">
              <w:rPr>
                <w:rStyle w:val="Hyperlink"/>
                <w:noProof/>
              </w:rPr>
              <w:t>Genotoxicity studies</w:t>
            </w:r>
            <w:r w:rsidR="005E2BAA">
              <w:rPr>
                <w:noProof/>
                <w:webHidden/>
              </w:rPr>
              <w:tab/>
            </w:r>
            <w:r w:rsidR="005E2BAA">
              <w:rPr>
                <w:noProof/>
                <w:webHidden/>
              </w:rPr>
              <w:fldChar w:fldCharType="begin"/>
            </w:r>
            <w:r w:rsidR="005E2BAA">
              <w:rPr>
                <w:noProof/>
                <w:webHidden/>
              </w:rPr>
              <w:instrText xml:space="preserve"> PAGEREF _Toc478375792 \h </w:instrText>
            </w:r>
            <w:r w:rsidR="005E2BAA">
              <w:rPr>
                <w:noProof/>
                <w:webHidden/>
              </w:rPr>
            </w:r>
            <w:r w:rsidR="005E2BAA">
              <w:rPr>
                <w:noProof/>
                <w:webHidden/>
              </w:rPr>
              <w:fldChar w:fldCharType="separate"/>
            </w:r>
            <w:r w:rsidR="005E2BAA">
              <w:rPr>
                <w:noProof/>
                <w:webHidden/>
              </w:rPr>
              <w:t>8</w:t>
            </w:r>
            <w:r w:rsidR="005E2BAA">
              <w:rPr>
                <w:noProof/>
                <w:webHidden/>
              </w:rPr>
              <w:fldChar w:fldCharType="end"/>
            </w:r>
          </w:hyperlink>
        </w:p>
        <w:p w14:paraId="72F69E77"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793" w:history="1">
            <w:r w:rsidR="005E2BAA" w:rsidRPr="00221E19">
              <w:rPr>
                <w:rStyle w:val="Hyperlink"/>
                <w:noProof/>
              </w:rPr>
              <w:t>3.2.4</w:t>
            </w:r>
            <w:r w:rsidR="005E2BAA">
              <w:rPr>
                <w:rFonts w:eastAsiaTheme="minorEastAsia" w:cstheme="minorBidi"/>
                <w:i w:val="0"/>
                <w:iCs w:val="0"/>
                <w:noProof/>
                <w:sz w:val="22"/>
                <w:szCs w:val="22"/>
                <w:lang w:val="en-NZ" w:eastAsia="en-NZ" w:bidi="ar-SA"/>
              </w:rPr>
              <w:tab/>
            </w:r>
            <w:r w:rsidR="005E2BAA" w:rsidRPr="00221E19">
              <w:rPr>
                <w:rStyle w:val="Hyperlink"/>
                <w:noProof/>
              </w:rPr>
              <w:t>Other studies</w:t>
            </w:r>
            <w:r w:rsidR="005E2BAA">
              <w:rPr>
                <w:noProof/>
                <w:webHidden/>
              </w:rPr>
              <w:tab/>
            </w:r>
            <w:r w:rsidR="005E2BAA">
              <w:rPr>
                <w:noProof/>
                <w:webHidden/>
              </w:rPr>
              <w:fldChar w:fldCharType="begin"/>
            </w:r>
            <w:r w:rsidR="005E2BAA">
              <w:rPr>
                <w:noProof/>
                <w:webHidden/>
              </w:rPr>
              <w:instrText xml:space="preserve"> PAGEREF _Toc478375793 \h </w:instrText>
            </w:r>
            <w:r w:rsidR="005E2BAA">
              <w:rPr>
                <w:noProof/>
                <w:webHidden/>
              </w:rPr>
            </w:r>
            <w:r w:rsidR="005E2BAA">
              <w:rPr>
                <w:noProof/>
                <w:webHidden/>
              </w:rPr>
              <w:fldChar w:fldCharType="separate"/>
            </w:r>
            <w:r w:rsidR="005E2BAA">
              <w:rPr>
                <w:noProof/>
                <w:webHidden/>
              </w:rPr>
              <w:t>9</w:t>
            </w:r>
            <w:r w:rsidR="005E2BAA">
              <w:rPr>
                <w:noProof/>
                <w:webHidden/>
              </w:rPr>
              <w:fldChar w:fldCharType="end"/>
            </w:r>
          </w:hyperlink>
        </w:p>
        <w:p w14:paraId="7A2A3FA0"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794" w:history="1">
            <w:r w:rsidR="005E2BAA" w:rsidRPr="00221E19">
              <w:rPr>
                <w:rStyle w:val="Hyperlink"/>
                <w:noProof/>
              </w:rPr>
              <w:t>3.3</w:t>
            </w:r>
            <w:r w:rsidR="005E2BAA">
              <w:rPr>
                <w:rFonts w:eastAsiaTheme="minorEastAsia" w:cstheme="minorBidi"/>
                <w:i w:val="0"/>
                <w:iCs w:val="0"/>
                <w:noProof/>
                <w:sz w:val="22"/>
                <w:szCs w:val="22"/>
                <w:lang w:val="en-NZ" w:eastAsia="en-NZ" w:bidi="ar-SA"/>
              </w:rPr>
              <w:tab/>
            </w:r>
            <w:r w:rsidR="005E2BAA" w:rsidRPr="00221E19">
              <w:rPr>
                <w:rStyle w:val="Hyperlink"/>
                <w:noProof/>
              </w:rPr>
              <w:t>Animal studies</w:t>
            </w:r>
            <w:r w:rsidR="005E2BAA">
              <w:rPr>
                <w:noProof/>
                <w:webHidden/>
              </w:rPr>
              <w:tab/>
            </w:r>
            <w:r w:rsidR="005E2BAA">
              <w:rPr>
                <w:noProof/>
                <w:webHidden/>
              </w:rPr>
              <w:fldChar w:fldCharType="begin"/>
            </w:r>
            <w:r w:rsidR="005E2BAA">
              <w:rPr>
                <w:noProof/>
                <w:webHidden/>
              </w:rPr>
              <w:instrText xml:space="preserve"> PAGEREF _Toc478375794 \h </w:instrText>
            </w:r>
            <w:r w:rsidR="005E2BAA">
              <w:rPr>
                <w:noProof/>
                <w:webHidden/>
              </w:rPr>
            </w:r>
            <w:r w:rsidR="005E2BAA">
              <w:rPr>
                <w:noProof/>
                <w:webHidden/>
              </w:rPr>
              <w:fldChar w:fldCharType="separate"/>
            </w:r>
            <w:r w:rsidR="005E2BAA">
              <w:rPr>
                <w:noProof/>
                <w:webHidden/>
              </w:rPr>
              <w:t>9</w:t>
            </w:r>
            <w:r w:rsidR="005E2BAA">
              <w:rPr>
                <w:noProof/>
                <w:webHidden/>
              </w:rPr>
              <w:fldChar w:fldCharType="end"/>
            </w:r>
          </w:hyperlink>
        </w:p>
        <w:p w14:paraId="41D7DBD4"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795" w:history="1">
            <w:r w:rsidR="005E2BAA" w:rsidRPr="00221E19">
              <w:rPr>
                <w:rStyle w:val="Hyperlink"/>
                <w:noProof/>
              </w:rPr>
              <w:t>3.4</w:t>
            </w:r>
            <w:r w:rsidR="005E2BAA">
              <w:rPr>
                <w:rFonts w:eastAsiaTheme="minorEastAsia" w:cstheme="minorBidi"/>
                <w:i w:val="0"/>
                <w:iCs w:val="0"/>
                <w:noProof/>
                <w:sz w:val="22"/>
                <w:szCs w:val="22"/>
                <w:lang w:val="en-NZ" w:eastAsia="en-NZ" w:bidi="ar-SA"/>
              </w:rPr>
              <w:tab/>
            </w:r>
            <w:r w:rsidR="005E2BAA" w:rsidRPr="00221E19">
              <w:rPr>
                <w:rStyle w:val="Hyperlink"/>
                <w:noProof/>
              </w:rPr>
              <w:t>Other studies</w:t>
            </w:r>
            <w:r w:rsidR="005E2BAA">
              <w:rPr>
                <w:noProof/>
                <w:webHidden/>
              </w:rPr>
              <w:tab/>
            </w:r>
            <w:r w:rsidR="005E2BAA">
              <w:rPr>
                <w:noProof/>
                <w:webHidden/>
              </w:rPr>
              <w:fldChar w:fldCharType="begin"/>
            </w:r>
            <w:r w:rsidR="005E2BAA">
              <w:rPr>
                <w:noProof/>
                <w:webHidden/>
              </w:rPr>
              <w:instrText xml:space="preserve"> PAGEREF _Toc478375795 \h </w:instrText>
            </w:r>
            <w:r w:rsidR="005E2BAA">
              <w:rPr>
                <w:noProof/>
                <w:webHidden/>
              </w:rPr>
            </w:r>
            <w:r w:rsidR="005E2BAA">
              <w:rPr>
                <w:noProof/>
                <w:webHidden/>
              </w:rPr>
              <w:fldChar w:fldCharType="separate"/>
            </w:r>
            <w:r w:rsidR="005E2BAA">
              <w:rPr>
                <w:noProof/>
                <w:webHidden/>
              </w:rPr>
              <w:t>11</w:t>
            </w:r>
            <w:r w:rsidR="005E2BAA">
              <w:rPr>
                <w:noProof/>
                <w:webHidden/>
              </w:rPr>
              <w:fldChar w:fldCharType="end"/>
            </w:r>
          </w:hyperlink>
        </w:p>
        <w:p w14:paraId="111933DA"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796" w:history="1">
            <w:r w:rsidR="005E2BAA" w:rsidRPr="00221E19">
              <w:rPr>
                <w:rStyle w:val="Hyperlink"/>
                <w:noProof/>
              </w:rPr>
              <w:t>3.4.3</w:t>
            </w:r>
            <w:r w:rsidR="005E2BAA">
              <w:rPr>
                <w:rFonts w:eastAsiaTheme="minorEastAsia" w:cstheme="minorBidi"/>
                <w:i w:val="0"/>
                <w:iCs w:val="0"/>
                <w:noProof/>
                <w:sz w:val="22"/>
                <w:szCs w:val="22"/>
                <w:lang w:val="en-NZ" w:eastAsia="en-NZ" w:bidi="ar-SA"/>
              </w:rPr>
              <w:tab/>
            </w:r>
            <w:r w:rsidR="005E2BAA" w:rsidRPr="00221E19">
              <w:rPr>
                <w:rStyle w:val="Hyperlink"/>
                <w:noProof/>
              </w:rPr>
              <w:t>28-day dietary study of barley beta-glucan in rats</w:t>
            </w:r>
            <w:r w:rsidR="005E2BAA">
              <w:rPr>
                <w:noProof/>
                <w:webHidden/>
              </w:rPr>
              <w:tab/>
            </w:r>
            <w:r w:rsidR="005E2BAA">
              <w:rPr>
                <w:noProof/>
                <w:webHidden/>
              </w:rPr>
              <w:fldChar w:fldCharType="begin"/>
            </w:r>
            <w:r w:rsidR="005E2BAA">
              <w:rPr>
                <w:noProof/>
                <w:webHidden/>
              </w:rPr>
              <w:instrText xml:space="preserve"> PAGEREF _Toc478375796 \h </w:instrText>
            </w:r>
            <w:r w:rsidR="005E2BAA">
              <w:rPr>
                <w:noProof/>
                <w:webHidden/>
              </w:rPr>
            </w:r>
            <w:r w:rsidR="005E2BAA">
              <w:rPr>
                <w:noProof/>
                <w:webHidden/>
              </w:rPr>
              <w:fldChar w:fldCharType="separate"/>
            </w:r>
            <w:r w:rsidR="005E2BAA">
              <w:rPr>
                <w:noProof/>
                <w:webHidden/>
              </w:rPr>
              <w:t>12</w:t>
            </w:r>
            <w:r w:rsidR="005E2BAA">
              <w:rPr>
                <w:noProof/>
                <w:webHidden/>
              </w:rPr>
              <w:fldChar w:fldCharType="end"/>
            </w:r>
          </w:hyperlink>
        </w:p>
        <w:p w14:paraId="0EE6F1E3"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797" w:history="1">
            <w:r w:rsidR="005E2BAA" w:rsidRPr="00221E19">
              <w:rPr>
                <w:rStyle w:val="Hyperlink"/>
                <w:noProof/>
              </w:rPr>
              <w:t>3.5</w:t>
            </w:r>
            <w:r w:rsidR="005E2BAA">
              <w:rPr>
                <w:rFonts w:eastAsiaTheme="minorEastAsia" w:cstheme="minorBidi"/>
                <w:i w:val="0"/>
                <w:iCs w:val="0"/>
                <w:noProof/>
                <w:sz w:val="22"/>
                <w:szCs w:val="22"/>
                <w:lang w:val="en-NZ" w:eastAsia="en-NZ" w:bidi="ar-SA"/>
              </w:rPr>
              <w:tab/>
            </w:r>
            <w:r w:rsidR="005E2BAA" w:rsidRPr="00221E19">
              <w:rPr>
                <w:rStyle w:val="Hyperlink"/>
                <w:noProof/>
              </w:rPr>
              <w:t>Human Studies</w:t>
            </w:r>
            <w:r w:rsidR="005E2BAA">
              <w:rPr>
                <w:noProof/>
                <w:webHidden/>
              </w:rPr>
              <w:tab/>
            </w:r>
            <w:r w:rsidR="005E2BAA">
              <w:rPr>
                <w:noProof/>
                <w:webHidden/>
              </w:rPr>
              <w:fldChar w:fldCharType="begin"/>
            </w:r>
            <w:r w:rsidR="005E2BAA">
              <w:rPr>
                <w:noProof/>
                <w:webHidden/>
              </w:rPr>
              <w:instrText xml:space="preserve"> PAGEREF _Toc478375797 \h </w:instrText>
            </w:r>
            <w:r w:rsidR="005E2BAA">
              <w:rPr>
                <w:noProof/>
                <w:webHidden/>
              </w:rPr>
            </w:r>
            <w:r w:rsidR="005E2BAA">
              <w:rPr>
                <w:noProof/>
                <w:webHidden/>
              </w:rPr>
              <w:fldChar w:fldCharType="separate"/>
            </w:r>
            <w:r w:rsidR="005E2BAA">
              <w:rPr>
                <w:noProof/>
                <w:webHidden/>
              </w:rPr>
              <w:t>13</w:t>
            </w:r>
            <w:r w:rsidR="005E2BAA">
              <w:rPr>
                <w:noProof/>
                <w:webHidden/>
              </w:rPr>
              <w:fldChar w:fldCharType="end"/>
            </w:r>
          </w:hyperlink>
        </w:p>
        <w:p w14:paraId="4CDA5413"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798" w:history="1">
            <w:r w:rsidR="005E2BAA" w:rsidRPr="00221E19">
              <w:rPr>
                <w:rStyle w:val="Hyperlink"/>
                <w:noProof/>
              </w:rPr>
              <w:t>3.6</w:t>
            </w:r>
            <w:r w:rsidR="005E2BAA">
              <w:rPr>
                <w:rFonts w:eastAsiaTheme="minorEastAsia" w:cstheme="minorBidi"/>
                <w:i w:val="0"/>
                <w:iCs w:val="0"/>
                <w:noProof/>
                <w:sz w:val="22"/>
                <w:szCs w:val="22"/>
                <w:lang w:val="en-NZ" w:eastAsia="en-NZ" w:bidi="ar-SA"/>
              </w:rPr>
              <w:tab/>
            </w:r>
            <w:r w:rsidR="005E2BAA" w:rsidRPr="00221E19">
              <w:rPr>
                <w:rStyle w:val="Hyperlink"/>
                <w:noProof/>
              </w:rPr>
              <w:t>Hazard assessment conclusions</w:t>
            </w:r>
            <w:r w:rsidR="005E2BAA">
              <w:rPr>
                <w:noProof/>
                <w:webHidden/>
              </w:rPr>
              <w:tab/>
            </w:r>
            <w:r w:rsidR="005E2BAA">
              <w:rPr>
                <w:noProof/>
                <w:webHidden/>
              </w:rPr>
              <w:fldChar w:fldCharType="begin"/>
            </w:r>
            <w:r w:rsidR="005E2BAA">
              <w:rPr>
                <w:noProof/>
                <w:webHidden/>
              </w:rPr>
              <w:instrText xml:space="preserve"> PAGEREF _Toc478375798 \h </w:instrText>
            </w:r>
            <w:r w:rsidR="005E2BAA">
              <w:rPr>
                <w:noProof/>
                <w:webHidden/>
              </w:rPr>
            </w:r>
            <w:r w:rsidR="005E2BAA">
              <w:rPr>
                <w:noProof/>
                <w:webHidden/>
              </w:rPr>
              <w:fldChar w:fldCharType="separate"/>
            </w:r>
            <w:r w:rsidR="005E2BAA">
              <w:rPr>
                <w:noProof/>
                <w:webHidden/>
              </w:rPr>
              <w:t>15</w:t>
            </w:r>
            <w:r w:rsidR="005E2BAA">
              <w:rPr>
                <w:noProof/>
                <w:webHidden/>
              </w:rPr>
              <w:fldChar w:fldCharType="end"/>
            </w:r>
          </w:hyperlink>
        </w:p>
        <w:p w14:paraId="6ED84919" w14:textId="77777777" w:rsidR="005E2BAA" w:rsidRDefault="000E611C">
          <w:pPr>
            <w:pStyle w:val="TOC2"/>
            <w:tabs>
              <w:tab w:val="left" w:pos="660"/>
              <w:tab w:val="right" w:leader="dot" w:pos="9060"/>
            </w:tabs>
            <w:rPr>
              <w:rFonts w:eastAsiaTheme="minorEastAsia" w:cstheme="minorBidi"/>
              <w:smallCaps w:val="0"/>
              <w:noProof/>
              <w:sz w:val="22"/>
              <w:szCs w:val="22"/>
              <w:lang w:val="en-NZ" w:eastAsia="en-NZ" w:bidi="ar-SA"/>
            </w:rPr>
          </w:pPr>
          <w:hyperlink w:anchor="_Toc478375799" w:history="1">
            <w:r w:rsidR="005E2BAA" w:rsidRPr="00221E19">
              <w:rPr>
                <w:rStyle w:val="Hyperlink"/>
                <w:noProof/>
              </w:rPr>
              <w:t>4</w:t>
            </w:r>
            <w:r w:rsidR="005E2BAA">
              <w:rPr>
                <w:rFonts w:eastAsiaTheme="minorEastAsia" w:cstheme="minorBidi"/>
                <w:smallCaps w:val="0"/>
                <w:noProof/>
                <w:sz w:val="22"/>
                <w:szCs w:val="22"/>
                <w:lang w:val="en-NZ" w:eastAsia="en-NZ" w:bidi="ar-SA"/>
              </w:rPr>
              <w:tab/>
            </w:r>
            <w:r w:rsidR="005E2BAA" w:rsidRPr="00221E19">
              <w:rPr>
                <w:rStyle w:val="Hyperlink"/>
                <w:noProof/>
              </w:rPr>
              <w:t>Dietary exposure assessment</w:t>
            </w:r>
            <w:r w:rsidR="005E2BAA">
              <w:rPr>
                <w:noProof/>
                <w:webHidden/>
              </w:rPr>
              <w:tab/>
            </w:r>
            <w:r w:rsidR="005E2BAA">
              <w:rPr>
                <w:noProof/>
                <w:webHidden/>
              </w:rPr>
              <w:fldChar w:fldCharType="begin"/>
            </w:r>
            <w:r w:rsidR="005E2BAA">
              <w:rPr>
                <w:noProof/>
                <w:webHidden/>
              </w:rPr>
              <w:instrText xml:space="preserve"> PAGEREF _Toc478375799 \h </w:instrText>
            </w:r>
            <w:r w:rsidR="005E2BAA">
              <w:rPr>
                <w:noProof/>
                <w:webHidden/>
              </w:rPr>
            </w:r>
            <w:r w:rsidR="005E2BAA">
              <w:rPr>
                <w:noProof/>
                <w:webHidden/>
              </w:rPr>
              <w:fldChar w:fldCharType="separate"/>
            </w:r>
            <w:r w:rsidR="005E2BAA">
              <w:rPr>
                <w:noProof/>
                <w:webHidden/>
              </w:rPr>
              <w:t>16</w:t>
            </w:r>
            <w:r w:rsidR="005E2BAA">
              <w:rPr>
                <w:noProof/>
                <w:webHidden/>
              </w:rPr>
              <w:fldChar w:fldCharType="end"/>
            </w:r>
          </w:hyperlink>
        </w:p>
        <w:p w14:paraId="7A792902" w14:textId="77777777" w:rsidR="005E2BAA" w:rsidRDefault="000E611C">
          <w:pPr>
            <w:pStyle w:val="TOC2"/>
            <w:tabs>
              <w:tab w:val="left" w:pos="660"/>
              <w:tab w:val="right" w:leader="dot" w:pos="9060"/>
            </w:tabs>
            <w:rPr>
              <w:rFonts w:eastAsiaTheme="minorEastAsia" w:cstheme="minorBidi"/>
              <w:smallCaps w:val="0"/>
              <w:noProof/>
              <w:sz w:val="22"/>
              <w:szCs w:val="22"/>
              <w:lang w:val="en-NZ" w:eastAsia="en-NZ" w:bidi="ar-SA"/>
            </w:rPr>
          </w:pPr>
          <w:hyperlink w:anchor="_Toc478375800" w:history="1">
            <w:r w:rsidR="005E2BAA" w:rsidRPr="00221E19">
              <w:rPr>
                <w:rStyle w:val="Hyperlink"/>
                <w:noProof/>
              </w:rPr>
              <w:t>5</w:t>
            </w:r>
            <w:r w:rsidR="005E2BAA">
              <w:rPr>
                <w:rFonts w:eastAsiaTheme="minorEastAsia" w:cstheme="minorBidi"/>
                <w:smallCaps w:val="0"/>
                <w:noProof/>
                <w:sz w:val="22"/>
                <w:szCs w:val="22"/>
                <w:lang w:val="en-NZ" w:eastAsia="en-NZ" w:bidi="ar-SA"/>
              </w:rPr>
              <w:tab/>
            </w:r>
            <w:r w:rsidR="005E2BAA" w:rsidRPr="00221E19">
              <w:rPr>
                <w:rStyle w:val="Hyperlink"/>
                <w:noProof/>
              </w:rPr>
              <w:t>Risk assessment conclusion</w:t>
            </w:r>
            <w:r w:rsidR="005E2BAA">
              <w:rPr>
                <w:noProof/>
                <w:webHidden/>
              </w:rPr>
              <w:tab/>
            </w:r>
            <w:r w:rsidR="005E2BAA">
              <w:rPr>
                <w:noProof/>
                <w:webHidden/>
              </w:rPr>
              <w:fldChar w:fldCharType="begin"/>
            </w:r>
            <w:r w:rsidR="005E2BAA">
              <w:rPr>
                <w:noProof/>
                <w:webHidden/>
              </w:rPr>
              <w:instrText xml:space="preserve"> PAGEREF _Toc478375800 \h </w:instrText>
            </w:r>
            <w:r w:rsidR="005E2BAA">
              <w:rPr>
                <w:noProof/>
                <w:webHidden/>
              </w:rPr>
            </w:r>
            <w:r w:rsidR="005E2BAA">
              <w:rPr>
                <w:noProof/>
                <w:webHidden/>
              </w:rPr>
              <w:fldChar w:fldCharType="separate"/>
            </w:r>
            <w:r w:rsidR="005E2BAA">
              <w:rPr>
                <w:noProof/>
                <w:webHidden/>
              </w:rPr>
              <w:t>16</w:t>
            </w:r>
            <w:r w:rsidR="005E2BAA">
              <w:rPr>
                <w:noProof/>
                <w:webHidden/>
              </w:rPr>
              <w:fldChar w:fldCharType="end"/>
            </w:r>
          </w:hyperlink>
        </w:p>
        <w:p w14:paraId="15272558" w14:textId="77777777" w:rsidR="005E2BAA" w:rsidRDefault="000E611C">
          <w:pPr>
            <w:pStyle w:val="TOC1"/>
            <w:tabs>
              <w:tab w:val="right" w:leader="dot" w:pos="9060"/>
            </w:tabs>
            <w:rPr>
              <w:rFonts w:eastAsiaTheme="minorEastAsia" w:cstheme="minorBidi"/>
              <w:b w:val="0"/>
              <w:bCs w:val="0"/>
              <w:caps w:val="0"/>
              <w:noProof/>
              <w:sz w:val="22"/>
              <w:szCs w:val="22"/>
              <w:lang w:val="en-NZ" w:eastAsia="en-NZ" w:bidi="ar-SA"/>
            </w:rPr>
          </w:pPr>
          <w:hyperlink w:anchor="_Toc478375801" w:history="1">
            <w:r w:rsidR="005E2BAA" w:rsidRPr="00221E19">
              <w:rPr>
                <w:rStyle w:val="Hyperlink"/>
                <w:noProof/>
              </w:rPr>
              <w:t>Part B: PVI/PVP Co-polymers (Polyvinylimidazole-Polyvinylpyrrolidone)</w:t>
            </w:r>
            <w:r w:rsidR="005E2BAA">
              <w:rPr>
                <w:noProof/>
                <w:webHidden/>
              </w:rPr>
              <w:tab/>
            </w:r>
            <w:r w:rsidR="005E2BAA">
              <w:rPr>
                <w:noProof/>
                <w:webHidden/>
              </w:rPr>
              <w:fldChar w:fldCharType="begin"/>
            </w:r>
            <w:r w:rsidR="005E2BAA">
              <w:rPr>
                <w:noProof/>
                <w:webHidden/>
              </w:rPr>
              <w:instrText xml:space="preserve"> PAGEREF _Toc478375801 \h </w:instrText>
            </w:r>
            <w:r w:rsidR="005E2BAA">
              <w:rPr>
                <w:noProof/>
                <w:webHidden/>
              </w:rPr>
            </w:r>
            <w:r w:rsidR="005E2BAA">
              <w:rPr>
                <w:noProof/>
                <w:webHidden/>
              </w:rPr>
              <w:fldChar w:fldCharType="separate"/>
            </w:r>
            <w:r w:rsidR="005E2BAA">
              <w:rPr>
                <w:noProof/>
                <w:webHidden/>
              </w:rPr>
              <w:t>17</w:t>
            </w:r>
            <w:r w:rsidR="005E2BAA">
              <w:rPr>
                <w:noProof/>
                <w:webHidden/>
              </w:rPr>
              <w:fldChar w:fldCharType="end"/>
            </w:r>
          </w:hyperlink>
        </w:p>
        <w:p w14:paraId="19D05EF0" w14:textId="77777777" w:rsidR="005E2BAA" w:rsidRDefault="000E611C">
          <w:pPr>
            <w:pStyle w:val="TOC2"/>
            <w:tabs>
              <w:tab w:val="left" w:pos="660"/>
              <w:tab w:val="right" w:leader="dot" w:pos="9060"/>
            </w:tabs>
            <w:rPr>
              <w:rFonts w:eastAsiaTheme="minorEastAsia" w:cstheme="minorBidi"/>
              <w:smallCaps w:val="0"/>
              <w:noProof/>
              <w:sz w:val="22"/>
              <w:szCs w:val="22"/>
              <w:lang w:val="en-NZ" w:eastAsia="en-NZ" w:bidi="ar-SA"/>
            </w:rPr>
          </w:pPr>
          <w:hyperlink w:anchor="_Toc478375802" w:history="1">
            <w:r w:rsidR="005E2BAA" w:rsidRPr="00221E19">
              <w:rPr>
                <w:rStyle w:val="Hyperlink"/>
                <w:noProof/>
              </w:rPr>
              <w:t>1</w:t>
            </w:r>
            <w:r w:rsidR="005E2BAA">
              <w:rPr>
                <w:rFonts w:eastAsiaTheme="minorEastAsia" w:cstheme="minorBidi"/>
                <w:smallCaps w:val="0"/>
                <w:noProof/>
                <w:sz w:val="22"/>
                <w:szCs w:val="22"/>
                <w:lang w:val="en-NZ" w:eastAsia="en-NZ" w:bidi="ar-SA"/>
              </w:rPr>
              <w:tab/>
            </w:r>
            <w:r w:rsidR="005E2BAA" w:rsidRPr="00221E19">
              <w:rPr>
                <w:rStyle w:val="Hyperlink"/>
                <w:noProof/>
              </w:rPr>
              <w:t>Introduction</w:t>
            </w:r>
            <w:r w:rsidR="005E2BAA">
              <w:rPr>
                <w:noProof/>
                <w:webHidden/>
              </w:rPr>
              <w:tab/>
            </w:r>
            <w:r w:rsidR="005E2BAA">
              <w:rPr>
                <w:noProof/>
                <w:webHidden/>
              </w:rPr>
              <w:fldChar w:fldCharType="begin"/>
            </w:r>
            <w:r w:rsidR="005E2BAA">
              <w:rPr>
                <w:noProof/>
                <w:webHidden/>
              </w:rPr>
              <w:instrText xml:space="preserve"> PAGEREF _Toc478375802 \h </w:instrText>
            </w:r>
            <w:r w:rsidR="005E2BAA">
              <w:rPr>
                <w:noProof/>
                <w:webHidden/>
              </w:rPr>
            </w:r>
            <w:r w:rsidR="005E2BAA">
              <w:rPr>
                <w:noProof/>
                <w:webHidden/>
              </w:rPr>
              <w:fldChar w:fldCharType="separate"/>
            </w:r>
            <w:r w:rsidR="005E2BAA">
              <w:rPr>
                <w:noProof/>
                <w:webHidden/>
              </w:rPr>
              <w:t>17</w:t>
            </w:r>
            <w:r w:rsidR="005E2BAA">
              <w:rPr>
                <w:noProof/>
                <w:webHidden/>
              </w:rPr>
              <w:fldChar w:fldCharType="end"/>
            </w:r>
          </w:hyperlink>
        </w:p>
        <w:p w14:paraId="69D6D8FA"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03" w:history="1">
            <w:r w:rsidR="005E2BAA" w:rsidRPr="00221E19">
              <w:rPr>
                <w:rStyle w:val="Hyperlink"/>
                <w:noProof/>
              </w:rPr>
              <w:t>1.1</w:t>
            </w:r>
            <w:r w:rsidR="005E2BAA">
              <w:rPr>
                <w:rFonts w:eastAsiaTheme="minorEastAsia" w:cstheme="minorBidi"/>
                <w:i w:val="0"/>
                <w:iCs w:val="0"/>
                <w:noProof/>
                <w:sz w:val="22"/>
                <w:szCs w:val="22"/>
                <w:lang w:val="en-NZ" w:eastAsia="en-NZ" w:bidi="ar-SA"/>
              </w:rPr>
              <w:tab/>
            </w:r>
            <w:r w:rsidR="005E2BAA" w:rsidRPr="00221E19">
              <w:rPr>
                <w:rStyle w:val="Hyperlink"/>
                <w:noProof/>
              </w:rPr>
              <w:t>Description</w:t>
            </w:r>
            <w:r w:rsidR="005E2BAA">
              <w:rPr>
                <w:noProof/>
                <w:webHidden/>
              </w:rPr>
              <w:tab/>
            </w:r>
            <w:r w:rsidR="005E2BAA">
              <w:rPr>
                <w:noProof/>
                <w:webHidden/>
              </w:rPr>
              <w:fldChar w:fldCharType="begin"/>
            </w:r>
            <w:r w:rsidR="005E2BAA">
              <w:rPr>
                <w:noProof/>
                <w:webHidden/>
              </w:rPr>
              <w:instrText xml:space="preserve"> PAGEREF _Toc478375803 \h </w:instrText>
            </w:r>
            <w:r w:rsidR="005E2BAA">
              <w:rPr>
                <w:noProof/>
                <w:webHidden/>
              </w:rPr>
            </w:r>
            <w:r w:rsidR="005E2BAA">
              <w:rPr>
                <w:noProof/>
                <w:webHidden/>
              </w:rPr>
              <w:fldChar w:fldCharType="separate"/>
            </w:r>
            <w:r w:rsidR="005E2BAA">
              <w:rPr>
                <w:noProof/>
                <w:webHidden/>
              </w:rPr>
              <w:t>17</w:t>
            </w:r>
            <w:r w:rsidR="005E2BAA">
              <w:rPr>
                <w:noProof/>
                <w:webHidden/>
              </w:rPr>
              <w:fldChar w:fldCharType="end"/>
            </w:r>
          </w:hyperlink>
        </w:p>
        <w:p w14:paraId="724EED12"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04" w:history="1">
            <w:r w:rsidR="005E2BAA" w:rsidRPr="00221E19">
              <w:rPr>
                <w:rStyle w:val="Hyperlink"/>
                <w:noProof/>
              </w:rPr>
              <w:t>1.2</w:t>
            </w:r>
            <w:r w:rsidR="005E2BAA">
              <w:rPr>
                <w:rFonts w:eastAsiaTheme="minorEastAsia" w:cstheme="minorBidi"/>
                <w:i w:val="0"/>
                <w:iCs w:val="0"/>
                <w:noProof/>
                <w:sz w:val="22"/>
                <w:szCs w:val="22"/>
                <w:lang w:val="en-NZ" w:eastAsia="en-NZ" w:bidi="ar-SA"/>
              </w:rPr>
              <w:tab/>
            </w:r>
            <w:r w:rsidR="005E2BAA" w:rsidRPr="00221E19">
              <w:rPr>
                <w:rStyle w:val="Hyperlink"/>
                <w:noProof/>
              </w:rPr>
              <w:t>Current permissions</w:t>
            </w:r>
            <w:r w:rsidR="005E2BAA">
              <w:rPr>
                <w:noProof/>
                <w:webHidden/>
              </w:rPr>
              <w:tab/>
            </w:r>
            <w:r w:rsidR="005E2BAA">
              <w:rPr>
                <w:noProof/>
                <w:webHidden/>
              </w:rPr>
              <w:fldChar w:fldCharType="begin"/>
            </w:r>
            <w:r w:rsidR="005E2BAA">
              <w:rPr>
                <w:noProof/>
                <w:webHidden/>
              </w:rPr>
              <w:instrText xml:space="preserve"> PAGEREF _Toc478375804 \h </w:instrText>
            </w:r>
            <w:r w:rsidR="005E2BAA">
              <w:rPr>
                <w:noProof/>
                <w:webHidden/>
              </w:rPr>
            </w:r>
            <w:r w:rsidR="005E2BAA">
              <w:rPr>
                <w:noProof/>
                <w:webHidden/>
              </w:rPr>
              <w:fldChar w:fldCharType="separate"/>
            </w:r>
            <w:r w:rsidR="005E2BAA">
              <w:rPr>
                <w:noProof/>
                <w:webHidden/>
              </w:rPr>
              <w:t>17</w:t>
            </w:r>
            <w:r w:rsidR="005E2BAA">
              <w:rPr>
                <w:noProof/>
                <w:webHidden/>
              </w:rPr>
              <w:fldChar w:fldCharType="end"/>
            </w:r>
          </w:hyperlink>
        </w:p>
        <w:p w14:paraId="58E9CE36"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05" w:history="1">
            <w:r w:rsidR="005E2BAA" w:rsidRPr="00221E19">
              <w:rPr>
                <w:rStyle w:val="Hyperlink"/>
                <w:noProof/>
              </w:rPr>
              <w:t>1.3</w:t>
            </w:r>
            <w:r w:rsidR="005E2BAA">
              <w:rPr>
                <w:rFonts w:eastAsiaTheme="minorEastAsia" w:cstheme="minorBidi"/>
                <w:i w:val="0"/>
                <w:iCs w:val="0"/>
                <w:noProof/>
                <w:sz w:val="22"/>
                <w:szCs w:val="22"/>
                <w:lang w:val="en-NZ" w:eastAsia="en-NZ" w:bidi="ar-SA"/>
              </w:rPr>
              <w:tab/>
            </w:r>
            <w:r w:rsidR="005E2BAA" w:rsidRPr="00221E19">
              <w:rPr>
                <w:rStyle w:val="Hyperlink"/>
                <w:noProof/>
              </w:rPr>
              <w:t>Risk assessment questions</w:t>
            </w:r>
            <w:r w:rsidR="005E2BAA">
              <w:rPr>
                <w:noProof/>
                <w:webHidden/>
              </w:rPr>
              <w:tab/>
            </w:r>
            <w:r w:rsidR="005E2BAA">
              <w:rPr>
                <w:noProof/>
                <w:webHidden/>
              </w:rPr>
              <w:fldChar w:fldCharType="begin"/>
            </w:r>
            <w:r w:rsidR="005E2BAA">
              <w:rPr>
                <w:noProof/>
                <w:webHidden/>
              </w:rPr>
              <w:instrText xml:space="preserve"> PAGEREF _Toc478375805 \h </w:instrText>
            </w:r>
            <w:r w:rsidR="005E2BAA">
              <w:rPr>
                <w:noProof/>
                <w:webHidden/>
              </w:rPr>
            </w:r>
            <w:r w:rsidR="005E2BAA">
              <w:rPr>
                <w:noProof/>
                <w:webHidden/>
              </w:rPr>
              <w:fldChar w:fldCharType="separate"/>
            </w:r>
            <w:r w:rsidR="005E2BAA">
              <w:rPr>
                <w:noProof/>
                <w:webHidden/>
              </w:rPr>
              <w:t>18</w:t>
            </w:r>
            <w:r w:rsidR="005E2BAA">
              <w:rPr>
                <w:noProof/>
                <w:webHidden/>
              </w:rPr>
              <w:fldChar w:fldCharType="end"/>
            </w:r>
          </w:hyperlink>
        </w:p>
        <w:p w14:paraId="1C98E56E" w14:textId="77777777" w:rsidR="005E2BAA" w:rsidRDefault="000E611C">
          <w:pPr>
            <w:pStyle w:val="TOC2"/>
            <w:tabs>
              <w:tab w:val="left" w:pos="660"/>
              <w:tab w:val="right" w:leader="dot" w:pos="9060"/>
            </w:tabs>
            <w:rPr>
              <w:rFonts w:eastAsiaTheme="minorEastAsia" w:cstheme="minorBidi"/>
              <w:smallCaps w:val="0"/>
              <w:noProof/>
              <w:sz w:val="22"/>
              <w:szCs w:val="22"/>
              <w:lang w:val="en-NZ" w:eastAsia="en-NZ" w:bidi="ar-SA"/>
            </w:rPr>
          </w:pPr>
          <w:hyperlink w:anchor="_Toc478375806" w:history="1">
            <w:r w:rsidR="005E2BAA" w:rsidRPr="00221E19">
              <w:rPr>
                <w:rStyle w:val="Hyperlink"/>
                <w:noProof/>
              </w:rPr>
              <w:t>2</w:t>
            </w:r>
            <w:r w:rsidR="005E2BAA">
              <w:rPr>
                <w:rFonts w:eastAsiaTheme="minorEastAsia" w:cstheme="minorBidi"/>
                <w:smallCaps w:val="0"/>
                <w:noProof/>
                <w:sz w:val="22"/>
                <w:szCs w:val="22"/>
                <w:lang w:val="en-NZ" w:eastAsia="en-NZ" w:bidi="ar-SA"/>
              </w:rPr>
              <w:tab/>
            </w:r>
            <w:r w:rsidR="005E2BAA" w:rsidRPr="00221E19">
              <w:rPr>
                <w:rStyle w:val="Hyperlink"/>
                <w:noProof/>
              </w:rPr>
              <w:t>Food technology assessment</w:t>
            </w:r>
            <w:r w:rsidR="005E2BAA">
              <w:rPr>
                <w:noProof/>
                <w:webHidden/>
              </w:rPr>
              <w:tab/>
            </w:r>
            <w:r w:rsidR="005E2BAA">
              <w:rPr>
                <w:noProof/>
                <w:webHidden/>
              </w:rPr>
              <w:fldChar w:fldCharType="begin"/>
            </w:r>
            <w:r w:rsidR="005E2BAA">
              <w:rPr>
                <w:noProof/>
                <w:webHidden/>
              </w:rPr>
              <w:instrText xml:space="preserve"> PAGEREF _Toc478375806 \h </w:instrText>
            </w:r>
            <w:r w:rsidR="005E2BAA">
              <w:rPr>
                <w:noProof/>
                <w:webHidden/>
              </w:rPr>
            </w:r>
            <w:r w:rsidR="005E2BAA">
              <w:rPr>
                <w:noProof/>
                <w:webHidden/>
              </w:rPr>
              <w:fldChar w:fldCharType="separate"/>
            </w:r>
            <w:r w:rsidR="005E2BAA">
              <w:rPr>
                <w:noProof/>
                <w:webHidden/>
              </w:rPr>
              <w:t>18</w:t>
            </w:r>
            <w:r w:rsidR="005E2BAA">
              <w:rPr>
                <w:noProof/>
                <w:webHidden/>
              </w:rPr>
              <w:fldChar w:fldCharType="end"/>
            </w:r>
          </w:hyperlink>
        </w:p>
        <w:p w14:paraId="30A67172"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07" w:history="1">
            <w:r w:rsidR="005E2BAA" w:rsidRPr="00221E19">
              <w:rPr>
                <w:rStyle w:val="Hyperlink"/>
                <w:noProof/>
              </w:rPr>
              <w:t>2.1</w:t>
            </w:r>
            <w:r w:rsidR="005E2BAA">
              <w:rPr>
                <w:rFonts w:eastAsiaTheme="minorEastAsia" w:cstheme="minorBidi"/>
                <w:i w:val="0"/>
                <w:iCs w:val="0"/>
                <w:noProof/>
                <w:sz w:val="22"/>
                <w:szCs w:val="22"/>
                <w:lang w:val="en-NZ" w:eastAsia="en-NZ" w:bidi="ar-SA"/>
              </w:rPr>
              <w:tab/>
            </w:r>
            <w:r w:rsidR="005E2BAA" w:rsidRPr="00221E19">
              <w:rPr>
                <w:rStyle w:val="Hyperlink"/>
                <w:noProof/>
              </w:rPr>
              <w:t>Technological purpose</w:t>
            </w:r>
            <w:r w:rsidR="005E2BAA">
              <w:rPr>
                <w:noProof/>
                <w:webHidden/>
              </w:rPr>
              <w:tab/>
            </w:r>
            <w:r w:rsidR="005E2BAA">
              <w:rPr>
                <w:noProof/>
                <w:webHidden/>
              </w:rPr>
              <w:fldChar w:fldCharType="begin"/>
            </w:r>
            <w:r w:rsidR="005E2BAA">
              <w:rPr>
                <w:noProof/>
                <w:webHidden/>
              </w:rPr>
              <w:instrText xml:space="preserve"> PAGEREF _Toc478375807 \h </w:instrText>
            </w:r>
            <w:r w:rsidR="005E2BAA">
              <w:rPr>
                <w:noProof/>
                <w:webHidden/>
              </w:rPr>
            </w:r>
            <w:r w:rsidR="005E2BAA">
              <w:rPr>
                <w:noProof/>
                <w:webHidden/>
              </w:rPr>
              <w:fldChar w:fldCharType="separate"/>
            </w:r>
            <w:r w:rsidR="005E2BAA">
              <w:rPr>
                <w:noProof/>
                <w:webHidden/>
              </w:rPr>
              <w:t>18</w:t>
            </w:r>
            <w:r w:rsidR="005E2BAA">
              <w:rPr>
                <w:noProof/>
                <w:webHidden/>
              </w:rPr>
              <w:fldChar w:fldCharType="end"/>
            </w:r>
          </w:hyperlink>
        </w:p>
        <w:p w14:paraId="7C5AFD00"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08" w:history="1">
            <w:r w:rsidR="005E2BAA" w:rsidRPr="00221E19">
              <w:rPr>
                <w:rStyle w:val="Hyperlink"/>
                <w:noProof/>
              </w:rPr>
              <w:t>2.2</w:t>
            </w:r>
            <w:r w:rsidR="005E2BAA">
              <w:rPr>
                <w:rFonts w:eastAsiaTheme="minorEastAsia" w:cstheme="minorBidi"/>
                <w:i w:val="0"/>
                <w:iCs w:val="0"/>
                <w:noProof/>
                <w:sz w:val="22"/>
                <w:szCs w:val="22"/>
                <w:lang w:val="en-NZ" w:eastAsia="en-NZ" w:bidi="ar-SA"/>
              </w:rPr>
              <w:tab/>
            </w:r>
            <w:r w:rsidR="005E2BAA" w:rsidRPr="00221E19">
              <w:rPr>
                <w:rStyle w:val="Hyperlink"/>
                <w:noProof/>
              </w:rPr>
              <w:t>Technological justification</w:t>
            </w:r>
            <w:r w:rsidR="005E2BAA">
              <w:rPr>
                <w:noProof/>
                <w:webHidden/>
              </w:rPr>
              <w:tab/>
            </w:r>
            <w:r w:rsidR="005E2BAA">
              <w:rPr>
                <w:noProof/>
                <w:webHidden/>
              </w:rPr>
              <w:fldChar w:fldCharType="begin"/>
            </w:r>
            <w:r w:rsidR="005E2BAA">
              <w:rPr>
                <w:noProof/>
                <w:webHidden/>
              </w:rPr>
              <w:instrText xml:space="preserve"> PAGEREF _Toc478375808 \h </w:instrText>
            </w:r>
            <w:r w:rsidR="005E2BAA">
              <w:rPr>
                <w:noProof/>
                <w:webHidden/>
              </w:rPr>
            </w:r>
            <w:r w:rsidR="005E2BAA">
              <w:rPr>
                <w:noProof/>
                <w:webHidden/>
              </w:rPr>
              <w:fldChar w:fldCharType="separate"/>
            </w:r>
            <w:r w:rsidR="005E2BAA">
              <w:rPr>
                <w:noProof/>
                <w:webHidden/>
              </w:rPr>
              <w:t>19</w:t>
            </w:r>
            <w:r w:rsidR="005E2BAA">
              <w:rPr>
                <w:noProof/>
                <w:webHidden/>
              </w:rPr>
              <w:fldChar w:fldCharType="end"/>
            </w:r>
          </w:hyperlink>
        </w:p>
        <w:p w14:paraId="49A8D9FE"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09" w:history="1">
            <w:r w:rsidR="005E2BAA" w:rsidRPr="00221E19">
              <w:rPr>
                <w:rStyle w:val="Hyperlink"/>
                <w:noProof/>
              </w:rPr>
              <w:t>2.3</w:t>
            </w:r>
            <w:r w:rsidR="005E2BAA">
              <w:rPr>
                <w:rFonts w:eastAsiaTheme="minorEastAsia" w:cstheme="minorBidi"/>
                <w:i w:val="0"/>
                <w:iCs w:val="0"/>
                <w:noProof/>
                <w:sz w:val="22"/>
                <w:szCs w:val="22"/>
                <w:lang w:val="en-NZ" w:eastAsia="en-NZ" w:bidi="ar-SA"/>
              </w:rPr>
              <w:tab/>
            </w:r>
            <w:r w:rsidR="005E2BAA" w:rsidRPr="00221E19">
              <w:rPr>
                <w:rStyle w:val="Hyperlink"/>
                <w:noProof/>
              </w:rPr>
              <w:t>Chemical properties</w:t>
            </w:r>
            <w:r w:rsidR="005E2BAA">
              <w:rPr>
                <w:noProof/>
                <w:webHidden/>
              </w:rPr>
              <w:tab/>
            </w:r>
            <w:r w:rsidR="005E2BAA">
              <w:rPr>
                <w:noProof/>
                <w:webHidden/>
              </w:rPr>
              <w:fldChar w:fldCharType="begin"/>
            </w:r>
            <w:r w:rsidR="005E2BAA">
              <w:rPr>
                <w:noProof/>
                <w:webHidden/>
              </w:rPr>
              <w:instrText xml:space="preserve"> PAGEREF _Toc478375809 \h </w:instrText>
            </w:r>
            <w:r w:rsidR="005E2BAA">
              <w:rPr>
                <w:noProof/>
                <w:webHidden/>
              </w:rPr>
            </w:r>
            <w:r w:rsidR="005E2BAA">
              <w:rPr>
                <w:noProof/>
                <w:webHidden/>
              </w:rPr>
              <w:fldChar w:fldCharType="separate"/>
            </w:r>
            <w:r w:rsidR="005E2BAA">
              <w:rPr>
                <w:noProof/>
                <w:webHidden/>
              </w:rPr>
              <w:t>21</w:t>
            </w:r>
            <w:r w:rsidR="005E2BAA">
              <w:rPr>
                <w:noProof/>
                <w:webHidden/>
              </w:rPr>
              <w:fldChar w:fldCharType="end"/>
            </w:r>
          </w:hyperlink>
        </w:p>
        <w:p w14:paraId="6DBFBBD0"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10" w:history="1">
            <w:r w:rsidR="005E2BAA" w:rsidRPr="00221E19">
              <w:rPr>
                <w:rStyle w:val="Hyperlink"/>
                <w:noProof/>
              </w:rPr>
              <w:t>2.4</w:t>
            </w:r>
            <w:r w:rsidR="005E2BAA">
              <w:rPr>
                <w:rFonts w:eastAsiaTheme="minorEastAsia" w:cstheme="minorBidi"/>
                <w:i w:val="0"/>
                <w:iCs w:val="0"/>
                <w:noProof/>
                <w:sz w:val="22"/>
                <w:szCs w:val="22"/>
                <w:lang w:val="en-NZ" w:eastAsia="en-NZ" w:bidi="ar-SA"/>
              </w:rPr>
              <w:tab/>
            </w:r>
            <w:r w:rsidR="005E2BAA" w:rsidRPr="00221E19">
              <w:rPr>
                <w:rStyle w:val="Hyperlink"/>
                <w:noProof/>
              </w:rPr>
              <w:t>Analytical method for detection</w:t>
            </w:r>
            <w:r w:rsidR="005E2BAA">
              <w:rPr>
                <w:noProof/>
                <w:webHidden/>
              </w:rPr>
              <w:tab/>
            </w:r>
            <w:r w:rsidR="005E2BAA">
              <w:rPr>
                <w:noProof/>
                <w:webHidden/>
              </w:rPr>
              <w:fldChar w:fldCharType="begin"/>
            </w:r>
            <w:r w:rsidR="005E2BAA">
              <w:rPr>
                <w:noProof/>
                <w:webHidden/>
              </w:rPr>
              <w:instrText xml:space="preserve"> PAGEREF _Toc478375810 \h </w:instrText>
            </w:r>
            <w:r w:rsidR="005E2BAA">
              <w:rPr>
                <w:noProof/>
                <w:webHidden/>
              </w:rPr>
            </w:r>
            <w:r w:rsidR="005E2BAA">
              <w:rPr>
                <w:noProof/>
                <w:webHidden/>
              </w:rPr>
              <w:fldChar w:fldCharType="separate"/>
            </w:r>
            <w:r w:rsidR="005E2BAA">
              <w:rPr>
                <w:noProof/>
                <w:webHidden/>
              </w:rPr>
              <w:t>22</w:t>
            </w:r>
            <w:r w:rsidR="005E2BAA">
              <w:rPr>
                <w:noProof/>
                <w:webHidden/>
              </w:rPr>
              <w:fldChar w:fldCharType="end"/>
            </w:r>
          </w:hyperlink>
        </w:p>
        <w:p w14:paraId="6F9512E5"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11" w:history="1">
            <w:r w:rsidR="005E2BAA" w:rsidRPr="00221E19">
              <w:rPr>
                <w:rStyle w:val="Hyperlink"/>
                <w:noProof/>
              </w:rPr>
              <w:t>2.5</w:t>
            </w:r>
            <w:r w:rsidR="005E2BAA">
              <w:rPr>
                <w:rFonts w:eastAsiaTheme="minorEastAsia" w:cstheme="minorBidi"/>
                <w:i w:val="0"/>
                <w:iCs w:val="0"/>
                <w:noProof/>
                <w:sz w:val="22"/>
                <w:szCs w:val="22"/>
                <w:lang w:val="en-NZ" w:eastAsia="en-NZ" w:bidi="ar-SA"/>
              </w:rPr>
              <w:tab/>
            </w:r>
            <w:r w:rsidR="005E2BAA" w:rsidRPr="00221E19">
              <w:rPr>
                <w:rStyle w:val="Hyperlink"/>
                <w:noProof/>
              </w:rPr>
              <w:t>Manufacturing process</w:t>
            </w:r>
            <w:r w:rsidR="005E2BAA">
              <w:rPr>
                <w:noProof/>
                <w:webHidden/>
              </w:rPr>
              <w:tab/>
            </w:r>
            <w:r w:rsidR="005E2BAA">
              <w:rPr>
                <w:noProof/>
                <w:webHidden/>
              </w:rPr>
              <w:fldChar w:fldCharType="begin"/>
            </w:r>
            <w:r w:rsidR="005E2BAA">
              <w:rPr>
                <w:noProof/>
                <w:webHidden/>
              </w:rPr>
              <w:instrText xml:space="preserve"> PAGEREF _Toc478375811 \h </w:instrText>
            </w:r>
            <w:r w:rsidR="005E2BAA">
              <w:rPr>
                <w:noProof/>
                <w:webHidden/>
              </w:rPr>
            </w:r>
            <w:r w:rsidR="005E2BAA">
              <w:rPr>
                <w:noProof/>
                <w:webHidden/>
              </w:rPr>
              <w:fldChar w:fldCharType="separate"/>
            </w:r>
            <w:r w:rsidR="005E2BAA">
              <w:rPr>
                <w:noProof/>
                <w:webHidden/>
              </w:rPr>
              <w:t>22</w:t>
            </w:r>
            <w:r w:rsidR="005E2BAA">
              <w:rPr>
                <w:noProof/>
                <w:webHidden/>
              </w:rPr>
              <w:fldChar w:fldCharType="end"/>
            </w:r>
          </w:hyperlink>
        </w:p>
        <w:p w14:paraId="4502D09B"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12" w:history="1">
            <w:r w:rsidR="005E2BAA" w:rsidRPr="00221E19">
              <w:rPr>
                <w:rStyle w:val="Hyperlink"/>
                <w:noProof/>
              </w:rPr>
              <w:t>2.6</w:t>
            </w:r>
            <w:r w:rsidR="005E2BAA">
              <w:rPr>
                <w:rFonts w:eastAsiaTheme="minorEastAsia" w:cstheme="minorBidi"/>
                <w:i w:val="0"/>
                <w:iCs w:val="0"/>
                <w:noProof/>
                <w:sz w:val="22"/>
                <w:szCs w:val="22"/>
                <w:lang w:val="en-NZ" w:eastAsia="en-NZ" w:bidi="ar-SA"/>
              </w:rPr>
              <w:tab/>
            </w:r>
            <w:r w:rsidR="005E2BAA" w:rsidRPr="00221E19">
              <w:rPr>
                <w:rStyle w:val="Hyperlink"/>
                <w:noProof/>
              </w:rPr>
              <w:t>Product specification</w:t>
            </w:r>
            <w:r w:rsidR="005E2BAA">
              <w:rPr>
                <w:noProof/>
                <w:webHidden/>
              </w:rPr>
              <w:tab/>
            </w:r>
            <w:r w:rsidR="005E2BAA">
              <w:rPr>
                <w:noProof/>
                <w:webHidden/>
              </w:rPr>
              <w:fldChar w:fldCharType="begin"/>
            </w:r>
            <w:r w:rsidR="005E2BAA">
              <w:rPr>
                <w:noProof/>
                <w:webHidden/>
              </w:rPr>
              <w:instrText xml:space="preserve"> PAGEREF _Toc478375812 \h </w:instrText>
            </w:r>
            <w:r w:rsidR="005E2BAA">
              <w:rPr>
                <w:noProof/>
                <w:webHidden/>
              </w:rPr>
            </w:r>
            <w:r w:rsidR="005E2BAA">
              <w:rPr>
                <w:noProof/>
                <w:webHidden/>
              </w:rPr>
              <w:fldChar w:fldCharType="separate"/>
            </w:r>
            <w:r w:rsidR="005E2BAA">
              <w:rPr>
                <w:noProof/>
                <w:webHidden/>
              </w:rPr>
              <w:t>22</w:t>
            </w:r>
            <w:r w:rsidR="005E2BAA">
              <w:rPr>
                <w:noProof/>
                <w:webHidden/>
              </w:rPr>
              <w:fldChar w:fldCharType="end"/>
            </w:r>
          </w:hyperlink>
        </w:p>
        <w:p w14:paraId="18099610"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13" w:history="1">
            <w:r w:rsidR="005E2BAA" w:rsidRPr="00221E19">
              <w:rPr>
                <w:rStyle w:val="Hyperlink"/>
                <w:noProof/>
              </w:rPr>
              <w:t>2.7</w:t>
            </w:r>
            <w:r w:rsidR="005E2BAA">
              <w:rPr>
                <w:rFonts w:eastAsiaTheme="minorEastAsia" w:cstheme="minorBidi"/>
                <w:i w:val="0"/>
                <w:iCs w:val="0"/>
                <w:noProof/>
                <w:sz w:val="22"/>
                <w:szCs w:val="22"/>
                <w:lang w:val="en-NZ" w:eastAsia="en-NZ" w:bidi="ar-SA"/>
              </w:rPr>
              <w:tab/>
            </w:r>
            <w:r w:rsidR="005E2BAA" w:rsidRPr="00221E19">
              <w:rPr>
                <w:rStyle w:val="Hyperlink"/>
                <w:noProof/>
              </w:rPr>
              <w:t>Food technology conclusion</w:t>
            </w:r>
            <w:r w:rsidR="005E2BAA">
              <w:rPr>
                <w:noProof/>
                <w:webHidden/>
              </w:rPr>
              <w:tab/>
            </w:r>
            <w:r w:rsidR="005E2BAA">
              <w:rPr>
                <w:noProof/>
                <w:webHidden/>
              </w:rPr>
              <w:fldChar w:fldCharType="begin"/>
            </w:r>
            <w:r w:rsidR="005E2BAA">
              <w:rPr>
                <w:noProof/>
                <w:webHidden/>
              </w:rPr>
              <w:instrText xml:space="preserve"> PAGEREF _Toc478375813 \h </w:instrText>
            </w:r>
            <w:r w:rsidR="005E2BAA">
              <w:rPr>
                <w:noProof/>
                <w:webHidden/>
              </w:rPr>
            </w:r>
            <w:r w:rsidR="005E2BAA">
              <w:rPr>
                <w:noProof/>
                <w:webHidden/>
              </w:rPr>
              <w:fldChar w:fldCharType="separate"/>
            </w:r>
            <w:r w:rsidR="005E2BAA">
              <w:rPr>
                <w:noProof/>
                <w:webHidden/>
              </w:rPr>
              <w:t>22</w:t>
            </w:r>
            <w:r w:rsidR="005E2BAA">
              <w:rPr>
                <w:noProof/>
                <w:webHidden/>
              </w:rPr>
              <w:fldChar w:fldCharType="end"/>
            </w:r>
          </w:hyperlink>
        </w:p>
        <w:p w14:paraId="42CEAFCA" w14:textId="77777777" w:rsidR="005E2BAA" w:rsidRDefault="000E611C">
          <w:pPr>
            <w:pStyle w:val="TOC2"/>
            <w:tabs>
              <w:tab w:val="left" w:pos="660"/>
              <w:tab w:val="right" w:leader="dot" w:pos="9060"/>
            </w:tabs>
            <w:rPr>
              <w:rFonts w:eastAsiaTheme="minorEastAsia" w:cstheme="minorBidi"/>
              <w:smallCaps w:val="0"/>
              <w:noProof/>
              <w:sz w:val="22"/>
              <w:szCs w:val="22"/>
              <w:lang w:val="en-NZ" w:eastAsia="en-NZ" w:bidi="ar-SA"/>
            </w:rPr>
          </w:pPr>
          <w:hyperlink w:anchor="_Toc478375814" w:history="1">
            <w:r w:rsidR="005E2BAA" w:rsidRPr="00221E19">
              <w:rPr>
                <w:rStyle w:val="Hyperlink"/>
                <w:noProof/>
              </w:rPr>
              <w:t>3</w:t>
            </w:r>
            <w:r w:rsidR="005E2BAA">
              <w:rPr>
                <w:rFonts w:eastAsiaTheme="minorEastAsia" w:cstheme="minorBidi"/>
                <w:smallCaps w:val="0"/>
                <w:noProof/>
                <w:sz w:val="22"/>
                <w:szCs w:val="22"/>
                <w:lang w:val="en-NZ" w:eastAsia="en-NZ" w:bidi="ar-SA"/>
              </w:rPr>
              <w:tab/>
            </w:r>
            <w:r w:rsidR="005E2BAA" w:rsidRPr="00221E19">
              <w:rPr>
                <w:rStyle w:val="Hyperlink"/>
                <w:noProof/>
              </w:rPr>
              <w:t>Hazard Assessment</w:t>
            </w:r>
            <w:r w:rsidR="005E2BAA">
              <w:rPr>
                <w:noProof/>
                <w:webHidden/>
              </w:rPr>
              <w:tab/>
            </w:r>
            <w:r w:rsidR="005E2BAA">
              <w:rPr>
                <w:noProof/>
                <w:webHidden/>
              </w:rPr>
              <w:fldChar w:fldCharType="begin"/>
            </w:r>
            <w:r w:rsidR="005E2BAA">
              <w:rPr>
                <w:noProof/>
                <w:webHidden/>
              </w:rPr>
              <w:instrText xml:space="preserve"> PAGEREF _Toc478375814 \h </w:instrText>
            </w:r>
            <w:r w:rsidR="005E2BAA">
              <w:rPr>
                <w:noProof/>
                <w:webHidden/>
              </w:rPr>
            </w:r>
            <w:r w:rsidR="005E2BAA">
              <w:rPr>
                <w:noProof/>
                <w:webHidden/>
              </w:rPr>
              <w:fldChar w:fldCharType="separate"/>
            </w:r>
            <w:r w:rsidR="005E2BAA">
              <w:rPr>
                <w:noProof/>
                <w:webHidden/>
              </w:rPr>
              <w:t>22</w:t>
            </w:r>
            <w:r w:rsidR="005E2BAA">
              <w:rPr>
                <w:noProof/>
                <w:webHidden/>
              </w:rPr>
              <w:fldChar w:fldCharType="end"/>
            </w:r>
          </w:hyperlink>
        </w:p>
        <w:p w14:paraId="0E3AB945"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15" w:history="1">
            <w:r w:rsidR="005E2BAA" w:rsidRPr="00221E19">
              <w:rPr>
                <w:rStyle w:val="Hyperlink"/>
                <w:noProof/>
              </w:rPr>
              <w:t>3.1</w:t>
            </w:r>
            <w:r w:rsidR="005E2BAA">
              <w:rPr>
                <w:rFonts w:eastAsiaTheme="minorEastAsia" w:cstheme="minorBidi"/>
                <w:i w:val="0"/>
                <w:iCs w:val="0"/>
                <w:noProof/>
                <w:sz w:val="22"/>
                <w:szCs w:val="22"/>
                <w:lang w:val="en-NZ" w:eastAsia="en-NZ" w:bidi="ar-SA"/>
              </w:rPr>
              <w:tab/>
            </w:r>
            <w:r w:rsidR="005E2BAA" w:rsidRPr="00221E19">
              <w:rPr>
                <w:rStyle w:val="Hyperlink"/>
                <w:noProof/>
              </w:rPr>
              <w:t>Toxicokinetics</w:t>
            </w:r>
            <w:r w:rsidR="005E2BAA">
              <w:rPr>
                <w:noProof/>
                <w:webHidden/>
              </w:rPr>
              <w:tab/>
            </w:r>
            <w:r w:rsidR="005E2BAA">
              <w:rPr>
                <w:noProof/>
                <w:webHidden/>
              </w:rPr>
              <w:fldChar w:fldCharType="begin"/>
            </w:r>
            <w:r w:rsidR="005E2BAA">
              <w:rPr>
                <w:noProof/>
                <w:webHidden/>
              </w:rPr>
              <w:instrText xml:space="preserve"> PAGEREF _Toc478375815 \h </w:instrText>
            </w:r>
            <w:r w:rsidR="005E2BAA">
              <w:rPr>
                <w:noProof/>
                <w:webHidden/>
              </w:rPr>
            </w:r>
            <w:r w:rsidR="005E2BAA">
              <w:rPr>
                <w:noProof/>
                <w:webHidden/>
              </w:rPr>
              <w:fldChar w:fldCharType="separate"/>
            </w:r>
            <w:r w:rsidR="005E2BAA">
              <w:rPr>
                <w:noProof/>
                <w:webHidden/>
              </w:rPr>
              <w:t>22</w:t>
            </w:r>
            <w:r w:rsidR="005E2BAA">
              <w:rPr>
                <w:noProof/>
                <w:webHidden/>
              </w:rPr>
              <w:fldChar w:fldCharType="end"/>
            </w:r>
          </w:hyperlink>
        </w:p>
        <w:p w14:paraId="7DE23A38"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16" w:history="1">
            <w:r w:rsidR="005E2BAA" w:rsidRPr="00221E19">
              <w:rPr>
                <w:rStyle w:val="Hyperlink"/>
                <w:noProof/>
              </w:rPr>
              <w:t>3.2</w:t>
            </w:r>
            <w:r w:rsidR="005E2BAA">
              <w:rPr>
                <w:rFonts w:eastAsiaTheme="minorEastAsia" w:cstheme="minorBidi"/>
                <w:i w:val="0"/>
                <w:iCs w:val="0"/>
                <w:noProof/>
                <w:sz w:val="22"/>
                <w:szCs w:val="22"/>
                <w:lang w:val="en-NZ" w:eastAsia="en-NZ" w:bidi="ar-SA"/>
              </w:rPr>
              <w:tab/>
            </w:r>
            <w:r w:rsidR="005E2BAA" w:rsidRPr="00221E19">
              <w:rPr>
                <w:rStyle w:val="Hyperlink"/>
                <w:noProof/>
              </w:rPr>
              <w:t>Genotoxicity studies and animal studies</w:t>
            </w:r>
            <w:r w:rsidR="005E2BAA">
              <w:rPr>
                <w:noProof/>
                <w:webHidden/>
              </w:rPr>
              <w:tab/>
            </w:r>
            <w:r w:rsidR="005E2BAA">
              <w:rPr>
                <w:noProof/>
                <w:webHidden/>
              </w:rPr>
              <w:fldChar w:fldCharType="begin"/>
            </w:r>
            <w:r w:rsidR="005E2BAA">
              <w:rPr>
                <w:noProof/>
                <w:webHidden/>
              </w:rPr>
              <w:instrText xml:space="preserve"> PAGEREF _Toc478375816 \h </w:instrText>
            </w:r>
            <w:r w:rsidR="005E2BAA">
              <w:rPr>
                <w:noProof/>
                <w:webHidden/>
              </w:rPr>
            </w:r>
            <w:r w:rsidR="005E2BAA">
              <w:rPr>
                <w:noProof/>
                <w:webHidden/>
              </w:rPr>
              <w:fldChar w:fldCharType="separate"/>
            </w:r>
            <w:r w:rsidR="005E2BAA">
              <w:rPr>
                <w:noProof/>
                <w:webHidden/>
              </w:rPr>
              <w:t>23</w:t>
            </w:r>
            <w:r w:rsidR="005E2BAA">
              <w:rPr>
                <w:noProof/>
                <w:webHidden/>
              </w:rPr>
              <w:fldChar w:fldCharType="end"/>
            </w:r>
          </w:hyperlink>
        </w:p>
        <w:p w14:paraId="6AE07259"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17" w:history="1">
            <w:r w:rsidR="005E2BAA" w:rsidRPr="00221E19">
              <w:rPr>
                <w:rStyle w:val="Hyperlink"/>
                <w:noProof/>
              </w:rPr>
              <w:t>3.3</w:t>
            </w:r>
            <w:r w:rsidR="005E2BAA">
              <w:rPr>
                <w:rFonts w:eastAsiaTheme="minorEastAsia" w:cstheme="minorBidi"/>
                <w:i w:val="0"/>
                <w:iCs w:val="0"/>
                <w:noProof/>
                <w:sz w:val="22"/>
                <w:szCs w:val="22"/>
                <w:lang w:val="en-NZ" w:eastAsia="en-NZ" w:bidi="ar-SA"/>
              </w:rPr>
              <w:tab/>
            </w:r>
            <w:r w:rsidR="005E2BAA" w:rsidRPr="00221E19">
              <w:rPr>
                <w:rStyle w:val="Hyperlink"/>
                <w:noProof/>
              </w:rPr>
              <w:t>Human Studies</w:t>
            </w:r>
            <w:r w:rsidR="005E2BAA">
              <w:rPr>
                <w:noProof/>
                <w:webHidden/>
              </w:rPr>
              <w:tab/>
            </w:r>
            <w:r w:rsidR="005E2BAA">
              <w:rPr>
                <w:noProof/>
                <w:webHidden/>
              </w:rPr>
              <w:fldChar w:fldCharType="begin"/>
            </w:r>
            <w:r w:rsidR="005E2BAA">
              <w:rPr>
                <w:noProof/>
                <w:webHidden/>
              </w:rPr>
              <w:instrText xml:space="preserve"> PAGEREF _Toc478375817 \h </w:instrText>
            </w:r>
            <w:r w:rsidR="005E2BAA">
              <w:rPr>
                <w:noProof/>
                <w:webHidden/>
              </w:rPr>
            </w:r>
            <w:r w:rsidR="005E2BAA">
              <w:rPr>
                <w:noProof/>
                <w:webHidden/>
              </w:rPr>
              <w:fldChar w:fldCharType="separate"/>
            </w:r>
            <w:r w:rsidR="005E2BAA">
              <w:rPr>
                <w:noProof/>
                <w:webHidden/>
              </w:rPr>
              <w:t>23</w:t>
            </w:r>
            <w:r w:rsidR="005E2BAA">
              <w:rPr>
                <w:noProof/>
                <w:webHidden/>
              </w:rPr>
              <w:fldChar w:fldCharType="end"/>
            </w:r>
          </w:hyperlink>
        </w:p>
        <w:p w14:paraId="3F8FB1D9"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18" w:history="1">
            <w:r w:rsidR="005E2BAA" w:rsidRPr="00221E19">
              <w:rPr>
                <w:rStyle w:val="Hyperlink"/>
                <w:noProof/>
              </w:rPr>
              <w:t>3.4</w:t>
            </w:r>
            <w:r w:rsidR="005E2BAA">
              <w:rPr>
                <w:rFonts w:eastAsiaTheme="minorEastAsia" w:cstheme="minorBidi"/>
                <w:i w:val="0"/>
                <w:iCs w:val="0"/>
                <w:noProof/>
                <w:sz w:val="22"/>
                <w:szCs w:val="22"/>
                <w:lang w:val="en-NZ" w:eastAsia="en-NZ" w:bidi="ar-SA"/>
              </w:rPr>
              <w:tab/>
            </w:r>
            <w:r w:rsidR="005E2BAA" w:rsidRPr="00221E19">
              <w:rPr>
                <w:rStyle w:val="Hyperlink"/>
                <w:noProof/>
              </w:rPr>
              <w:t>Assessments by other regulatory agencies</w:t>
            </w:r>
            <w:r w:rsidR="005E2BAA">
              <w:rPr>
                <w:noProof/>
                <w:webHidden/>
              </w:rPr>
              <w:tab/>
            </w:r>
            <w:r w:rsidR="005E2BAA">
              <w:rPr>
                <w:noProof/>
                <w:webHidden/>
              </w:rPr>
              <w:fldChar w:fldCharType="begin"/>
            </w:r>
            <w:r w:rsidR="005E2BAA">
              <w:rPr>
                <w:noProof/>
                <w:webHidden/>
              </w:rPr>
              <w:instrText xml:space="preserve"> PAGEREF _Toc478375818 \h </w:instrText>
            </w:r>
            <w:r w:rsidR="005E2BAA">
              <w:rPr>
                <w:noProof/>
                <w:webHidden/>
              </w:rPr>
            </w:r>
            <w:r w:rsidR="005E2BAA">
              <w:rPr>
                <w:noProof/>
                <w:webHidden/>
              </w:rPr>
              <w:fldChar w:fldCharType="separate"/>
            </w:r>
            <w:r w:rsidR="005E2BAA">
              <w:rPr>
                <w:noProof/>
                <w:webHidden/>
              </w:rPr>
              <w:t>23</w:t>
            </w:r>
            <w:r w:rsidR="005E2BAA">
              <w:rPr>
                <w:noProof/>
                <w:webHidden/>
              </w:rPr>
              <w:fldChar w:fldCharType="end"/>
            </w:r>
          </w:hyperlink>
        </w:p>
        <w:p w14:paraId="06A6B2DE"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19" w:history="1">
            <w:r w:rsidR="005E2BAA" w:rsidRPr="00221E19">
              <w:rPr>
                <w:rStyle w:val="Hyperlink"/>
                <w:noProof/>
              </w:rPr>
              <w:t>3.5</w:t>
            </w:r>
            <w:r w:rsidR="005E2BAA">
              <w:rPr>
                <w:rFonts w:eastAsiaTheme="minorEastAsia" w:cstheme="minorBidi"/>
                <w:i w:val="0"/>
                <w:iCs w:val="0"/>
                <w:noProof/>
                <w:sz w:val="22"/>
                <w:szCs w:val="22"/>
                <w:lang w:val="en-NZ" w:eastAsia="en-NZ" w:bidi="ar-SA"/>
              </w:rPr>
              <w:tab/>
            </w:r>
            <w:r w:rsidR="005E2BAA" w:rsidRPr="00221E19">
              <w:rPr>
                <w:rStyle w:val="Hyperlink"/>
                <w:noProof/>
              </w:rPr>
              <w:t>Hazard assessment conclusion</w:t>
            </w:r>
            <w:r w:rsidR="005E2BAA">
              <w:rPr>
                <w:noProof/>
                <w:webHidden/>
              </w:rPr>
              <w:tab/>
            </w:r>
            <w:r w:rsidR="005E2BAA">
              <w:rPr>
                <w:noProof/>
                <w:webHidden/>
              </w:rPr>
              <w:fldChar w:fldCharType="begin"/>
            </w:r>
            <w:r w:rsidR="005E2BAA">
              <w:rPr>
                <w:noProof/>
                <w:webHidden/>
              </w:rPr>
              <w:instrText xml:space="preserve"> PAGEREF _Toc478375819 \h </w:instrText>
            </w:r>
            <w:r w:rsidR="005E2BAA">
              <w:rPr>
                <w:noProof/>
                <w:webHidden/>
              </w:rPr>
            </w:r>
            <w:r w:rsidR="005E2BAA">
              <w:rPr>
                <w:noProof/>
                <w:webHidden/>
              </w:rPr>
              <w:fldChar w:fldCharType="separate"/>
            </w:r>
            <w:r w:rsidR="005E2BAA">
              <w:rPr>
                <w:noProof/>
                <w:webHidden/>
              </w:rPr>
              <w:t>24</w:t>
            </w:r>
            <w:r w:rsidR="005E2BAA">
              <w:rPr>
                <w:noProof/>
                <w:webHidden/>
              </w:rPr>
              <w:fldChar w:fldCharType="end"/>
            </w:r>
          </w:hyperlink>
        </w:p>
        <w:p w14:paraId="4428AABE" w14:textId="77777777" w:rsidR="005E2BAA" w:rsidRDefault="000E611C">
          <w:pPr>
            <w:pStyle w:val="TOC2"/>
            <w:tabs>
              <w:tab w:val="left" w:pos="660"/>
              <w:tab w:val="right" w:leader="dot" w:pos="9060"/>
            </w:tabs>
            <w:rPr>
              <w:rFonts w:eastAsiaTheme="minorEastAsia" w:cstheme="minorBidi"/>
              <w:smallCaps w:val="0"/>
              <w:noProof/>
              <w:sz w:val="22"/>
              <w:szCs w:val="22"/>
              <w:lang w:val="en-NZ" w:eastAsia="en-NZ" w:bidi="ar-SA"/>
            </w:rPr>
          </w:pPr>
          <w:hyperlink w:anchor="_Toc478375820" w:history="1">
            <w:r w:rsidR="005E2BAA" w:rsidRPr="00221E19">
              <w:rPr>
                <w:rStyle w:val="Hyperlink"/>
                <w:noProof/>
              </w:rPr>
              <w:t>4</w:t>
            </w:r>
            <w:r w:rsidR="005E2BAA">
              <w:rPr>
                <w:rFonts w:eastAsiaTheme="minorEastAsia" w:cstheme="minorBidi"/>
                <w:smallCaps w:val="0"/>
                <w:noProof/>
                <w:sz w:val="22"/>
                <w:szCs w:val="22"/>
                <w:lang w:val="en-NZ" w:eastAsia="en-NZ" w:bidi="ar-SA"/>
              </w:rPr>
              <w:tab/>
            </w:r>
            <w:r w:rsidR="005E2BAA" w:rsidRPr="00221E19">
              <w:rPr>
                <w:rStyle w:val="Hyperlink"/>
                <w:noProof/>
              </w:rPr>
              <w:t>Dietary exposure assessment</w:t>
            </w:r>
            <w:r w:rsidR="005E2BAA">
              <w:rPr>
                <w:noProof/>
                <w:webHidden/>
              </w:rPr>
              <w:tab/>
            </w:r>
            <w:r w:rsidR="005E2BAA">
              <w:rPr>
                <w:noProof/>
                <w:webHidden/>
              </w:rPr>
              <w:fldChar w:fldCharType="begin"/>
            </w:r>
            <w:r w:rsidR="005E2BAA">
              <w:rPr>
                <w:noProof/>
                <w:webHidden/>
              </w:rPr>
              <w:instrText xml:space="preserve"> PAGEREF _Toc478375820 \h </w:instrText>
            </w:r>
            <w:r w:rsidR="005E2BAA">
              <w:rPr>
                <w:noProof/>
                <w:webHidden/>
              </w:rPr>
            </w:r>
            <w:r w:rsidR="005E2BAA">
              <w:rPr>
                <w:noProof/>
                <w:webHidden/>
              </w:rPr>
              <w:fldChar w:fldCharType="separate"/>
            </w:r>
            <w:r w:rsidR="005E2BAA">
              <w:rPr>
                <w:noProof/>
                <w:webHidden/>
              </w:rPr>
              <w:t>24</w:t>
            </w:r>
            <w:r w:rsidR="005E2BAA">
              <w:rPr>
                <w:noProof/>
                <w:webHidden/>
              </w:rPr>
              <w:fldChar w:fldCharType="end"/>
            </w:r>
          </w:hyperlink>
        </w:p>
        <w:p w14:paraId="672B086C" w14:textId="77777777" w:rsidR="005E2BAA" w:rsidRDefault="000E611C">
          <w:pPr>
            <w:pStyle w:val="TOC2"/>
            <w:tabs>
              <w:tab w:val="left" w:pos="660"/>
              <w:tab w:val="right" w:leader="dot" w:pos="9060"/>
            </w:tabs>
            <w:rPr>
              <w:rFonts w:eastAsiaTheme="minorEastAsia" w:cstheme="minorBidi"/>
              <w:smallCaps w:val="0"/>
              <w:noProof/>
              <w:sz w:val="22"/>
              <w:szCs w:val="22"/>
              <w:lang w:val="en-NZ" w:eastAsia="en-NZ" w:bidi="ar-SA"/>
            </w:rPr>
          </w:pPr>
          <w:hyperlink w:anchor="_Toc478375821" w:history="1">
            <w:r w:rsidR="005E2BAA" w:rsidRPr="00221E19">
              <w:rPr>
                <w:rStyle w:val="Hyperlink"/>
                <w:noProof/>
              </w:rPr>
              <w:t>5</w:t>
            </w:r>
            <w:r w:rsidR="005E2BAA">
              <w:rPr>
                <w:rFonts w:eastAsiaTheme="minorEastAsia" w:cstheme="minorBidi"/>
                <w:smallCaps w:val="0"/>
                <w:noProof/>
                <w:sz w:val="22"/>
                <w:szCs w:val="22"/>
                <w:lang w:val="en-NZ" w:eastAsia="en-NZ" w:bidi="ar-SA"/>
              </w:rPr>
              <w:tab/>
            </w:r>
            <w:r w:rsidR="005E2BAA" w:rsidRPr="00221E19">
              <w:rPr>
                <w:rStyle w:val="Hyperlink"/>
                <w:noProof/>
              </w:rPr>
              <w:t>Risk assessment conclusion</w:t>
            </w:r>
            <w:r w:rsidR="005E2BAA">
              <w:rPr>
                <w:noProof/>
                <w:webHidden/>
              </w:rPr>
              <w:tab/>
            </w:r>
            <w:r w:rsidR="005E2BAA">
              <w:rPr>
                <w:noProof/>
                <w:webHidden/>
              </w:rPr>
              <w:fldChar w:fldCharType="begin"/>
            </w:r>
            <w:r w:rsidR="005E2BAA">
              <w:rPr>
                <w:noProof/>
                <w:webHidden/>
              </w:rPr>
              <w:instrText xml:space="preserve"> PAGEREF _Toc478375821 \h </w:instrText>
            </w:r>
            <w:r w:rsidR="005E2BAA">
              <w:rPr>
                <w:noProof/>
                <w:webHidden/>
              </w:rPr>
            </w:r>
            <w:r w:rsidR="005E2BAA">
              <w:rPr>
                <w:noProof/>
                <w:webHidden/>
              </w:rPr>
              <w:fldChar w:fldCharType="separate"/>
            </w:r>
            <w:r w:rsidR="005E2BAA">
              <w:rPr>
                <w:noProof/>
                <w:webHidden/>
              </w:rPr>
              <w:t>24</w:t>
            </w:r>
            <w:r w:rsidR="005E2BAA">
              <w:rPr>
                <w:noProof/>
                <w:webHidden/>
              </w:rPr>
              <w:fldChar w:fldCharType="end"/>
            </w:r>
          </w:hyperlink>
        </w:p>
        <w:p w14:paraId="78EF096C" w14:textId="77777777" w:rsidR="005E2BAA" w:rsidRDefault="000E611C">
          <w:pPr>
            <w:pStyle w:val="TOC1"/>
            <w:tabs>
              <w:tab w:val="right" w:leader="dot" w:pos="9060"/>
            </w:tabs>
            <w:rPr>
              <w:rFonts w:eastAsiaTheme="minorEastAsia" w:cstheme="minorBidi"/>
              <w:b w:val="0"/>
              <w:bCs w:val="0"/>
              <w:caps w:val="0"/>
              <w:noProof/>
              <w:sz w:val="22"/>
              <w:szCs w:val="22"/>
              <w:lang w:val="en-NZ" w:eastAsia="en-NZ" w:bidi="ar-SA"/>
            </w:rPr>
          </w:pPr>
          <w:hyperlink w:anchor="_Toc478375822" w:history="1">
            <w:r w:rsidR="005E2BAA" w:rsidRPr="00221E19">
              <w:rPr>
                <w:rStyle w:val="Hyperlink"/>
                <w:noProof/>
              </w:rPr>
              <w:t>Part C: Ammonium Bisulphite (Ammonium hydrogen sulphite)</w:t>
            </w:r>
            <w:r w:rsidR="005E2BAA">
              <w:rPr>
                <w:noProof/>
                <w:webHidden/>
              </w:rPr>
              <w:tab/>
            </w:r>
            <w:r w:rsidR="005E2BAA">
              <w:rPr>
                <w:noProof/>
                <w:webHidden/>
              </w:rPr>
              <w:fldChar w:fldCharType="begin"/>
            </w:r>
            <w:r w:rsidR="005E2BAA">
              <w:rPr>
                <w:noProof/>
                <w:webHidden/>
              </w:rPr>
              <w:instrText xml:space="preserve"> PAGEREF _Toc478375822 \h </w:instrText>
            </w:r>
            <w:r w:rsidR="005E2BAA">
              <w:rPr>
                <w:noProof/>
                <w:webHidden/>
              </w:rPr>
            </w:r>
            <w:r w:rsidR="005E2BAA">
              <w:rPr>
                <w:noProof/>
                <w:webHidden/>
              </w:rPr>
              <w:fldChar w:fldCharType="separate"/>
            </w:r>
            <w:r w:rsidR="005E2BAA">
              <w:rPr>
                <w:noProof/>
                <w:webHidden/>
              </w:rPr>
              <w:t>25</w:t>
            </w:r>
            <w:r w:rsidR="005E2BAA">
              <w:rPr>
                <w:noProof/>
                <w:webHidden/>
              </w:rPr>
              <w:fldChar w:fldCharType="end"/>
            </w:r>
          </w:hyperlink>
        </w:p>
        <w:p w14:paraId="05496D8C" w14:textId="77777777" w:rsidR="005E2BAA" w:rsidRDefault="000E611C">
          <w:pPr>
            <w:pStyle w:val="TOC2"/>
            <w:tabs>
              <w:tab w:val="left" w:pos="660"/>
              <w:tab w:val="right" w:leader="dot" w:pos="9060"/>
            </w:tabs>
            <w:rPr>
              <w:rFonts w:eastAsiaTheme="minorEastAsia" w:cstheme="minorBidi"/>
              <w:smallCaps w:val="0"/>
              <w:noProof/>
              <w:sz w:val="22"/>
              <w:szCs w:val="22"/>
              <w:lang w:val="en-NZ" w:eastAsia="en-NZ" w:bidi="ar-SA"/>
            </w:rPr>
          </w:pPr>
          <w:hyperlink w:anchor="_Toc478375823" w:history="1">
            <w:r w:rsidR="005E2BAA" w:rsidRPr="00221E19">
              <w:rPr>
                <w:rStyle w:val="Hyperlink"/>
                <w:noProof/>
              </w:rPr>
              <w:t>1</w:t>
            </w:r>
            <w:r w:rsidR="005E2BAA">
              <w:rPr>
                <w:rFonts w:eastAsiaTheme="minorEastAsia" w:cstheme="minorBidi"/>
                <w:smallCaps w:val="0"/>
                <w:noProof/>
                <w:sz w:val="22"/>
                <w:szCs w:val="22"/>
                <w:lang w:val="en-NZ" w:eastAsia="en-NZ" w:bidi="ar-SA"/>
              </w:rPr>
              <w:tab/>
            </w:r>
            <w:r w:rsidR="005E2BAA" w:rsidRPr="00221E19">
              <w:rPr>
                <w:rStyle w:val="Hyperlink"/>
                <w:noProof/>
              </w:rPr>
              <w:t>Introduction</w:t>
            </w:r>
            <w:r w:rsidR="005E2BAA">
              <w:rPr>
                <w:noProof/>
                <w:webHidden/>
              </w:rPr>
              <w:tab/>
            </w:r>
            <w:r w:rsidR="005E2BAA">
              <w:rPr>
                <w:noProof/>
                <w:webHidden/>
              </w:rPr>
              <w:fldChar w:fldCharType="begin"/>
            </w:r>
            <w:r w:rsidR="005E2BAA">
              <w:rPr>
                <w:noProof/>
                <w:webHidden/>
              </w:rPr>
              <w:instrText xml:space="preserve"> PAGEREF _Toc478375823 \h </w:instrText>
            </w:r>
            <w:r w:rsidR="005E2BAA">
              <w:rPr>
                <w:noProof/>
                <w:webHidden/>
              </w:rPr>
            </w:r>
            <w:r w:rsidR="005E2BAA">
              <w:rPr>
                <w:noProof/>
                <w:webHidden/>
              </w:rPr>
              <w:fldChar w:fldCharType="separate"/>
            </w:r>
            <w:r w:rsidR="005E2BAA">
              <w:rPr>
                <w:noProof/>
                <w:webHidden/>
              </w:rPr>
              <w:t>25</w:t>
            </w:r>
            <w:r w:rsidR="005E2BAA">
              <w:rPr>
                <w:noProof/>
                <w:webHidden/>
              </w:rPr>
              <w:fldChar w:fldCharType="end"/>
            </w:r>
          </w:hyperlink>
        </w:p>
        <w:p w14:paraId="6CFC4A54"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24" w:history="1">
            <w:r w:rsidR="005E2BAA" w:rsidRPr="00221E19">
              <w:rPr>
                <w:rStyle w:val="Hyperlink"/>
                <w:noProof/>
              </w:rPr>
              <w:t>1.1</w:t>
            </w:r>
            <w:r w:rsidR="005E2BAA">
              <w:rPr>
                <w:rFonts w:eastAsiaTheme="minorEastAsia" w:cstheme="minorBidi"/>
                <w:i w:val="0"/>
                <w:iCs w:val="0"/>
                <w:noProof/>
                <w:sz w:val="22"/>
                <w:szCs w:val="22"/>
                <w:lang w:val="en-NZ" w:eastAsia="en-NZ" w:bidi="ar-SA"/>
              </w:rPr>
              <w:tab/>
            </w:r>
            <w:r w:rsidR="005E2BAA" w:rsidRPr="00221E19">
              <w:rPr>
                <w:rStyle w:val="Hyperlink"/>
                <w:noProof/>
              </w:rPr>
              <w:t>Introduction</w:t>
            </w:r>
            <w:r w:rsidR="005E2BAA">
              <w:rPr>
                <w:noProof/>
                <w:webHidden/>
              </w:rPr>
              <w:tab/>
            </w:r>
            <w:r w:rsidR="005E2BAA">
              <w:rPr>
                <w:noProof/>
                <w:webHidden/>
              </w:rPr>
              <w:fldChar w:fldCharType="begin"/>
            </w:r>
            <w:r w:rsidR="005E2BAA">
              <w:rPr>
                <w:noProof/>
                <w:webHidden/>
              </w:rPr>
              <w:instrText xml:space="preserve"> PAGEREF _Toc478375824 \h </w:instrText>
            </w:r>
            <w:r w:rsidR="005E2BAA">
              <w:rPr>
                <w:noProof/>
                <w:webHidden/>
              </w:rPr>
            </w:r>
            <w:r w:rsidR="005E2BAA">
              <w:rPr>
                <w:noProof/>
                <w:webHidden/>
              </w:rPr>
              <w:fldChar w:fldCharType="separate"/>
            </w:r>
            <w:r w:rsidR="005E2BAA">
              <w:rPr>
                <w:noProof/>
                <w:webHidden/>
              </w:rPr>
              <w:t>25</w:t>
            </w:r>
            <w:r w:rsidR="005E2BAA">
              <w:rPr>
                <w:noProof/>
                <w:webHidden/>
              </w:rPr>
              <w:fldChar w:fldCharType="end"/>
            </w:r>
          </w:hyperlink>
        </w:p>
        <w:p w14:paraId="25BC7ABE"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25" w:history="1">
            <w:r w:rsidR="005E2BAA" w:rsidRPr="00221E19">
              <w:rPr>
                <w:rStyle w:val="Hyperlink"/>
                <w:noProof/>
              </w:rPr>
              <w:t>1.2</w:t>
            </w:r>
            <w:r w:rsidR="005E2BAA">
              <w:rPr>
                <w:rFonts w:eastAsiaTheme="minorEastAsia" w:cstheme="minorBidi"/>
                <w:i w:val="0"/>
                <w:iCs w:val="0"/>
                <w:noProof/>
                <w:sz w:val="22"/>
                <w:szCs w:val="22"/>
                <w:lang w:val="en-NZ" w:eastAsia="en-NZ" w:bidi="ar-SA"/>
              </w:rPr>
              <w:tab/>
            </w:r>
            <w:r w:rsidR="005E2BAA" w:rsidRPr="00221E19">
              <w:rPr>
                <w:rStyle w:val="Hyperlink"/>
                <w:noProof/>
              </w:rPr>
              <w:t>Current permissions</w:t>
            </w:r>
            <w:r w:rsidR="005E2BAA">
              <w:rPr>
                <w:noProof/>
                <w:webHidden/>
              </w:rPr>
              <w:tab/>
            </w:r>
            <w:r w:rsidR="005E2BAA">
              <w:rPr>
                <w:noProof/>
                <w:webHidden/>
              </w:rPr>
              <w:fldChar w:fldCharType="begin"/>
            </w:r>
            <w:r w:rsidR="005E2BAA">
              <w:rPr>
                <w:noProof/>
                <w:webHidden/>
              </w:rPr>
              <w:instrText xml:space="preserve"> PAGEREF _Toc478375825 \h </w:instrText>
            </w:r>
            <w:r w:rsidR="005E2BAA">
              <w:rPr>
                <w:noProof/>
                <w:webHidden/>
              </w:rPr>
            </w:r>
            <w:r w:rsidR="005E2BAA">
              <w:rPr>
                <w:noProof/>
                <w:webHidden/>
              </w:rPr>
              <w:fldChar w:fldCharType="separate"/>
            </w:r>
            <w:r w:rsidR="005E2BAA">
              <w:rPr>
                <w:noProof/>
                <w:webHidden/>
              </w:rPr>
              <w:t>25</w:t>
            </w:r>
            <w:r w:rsidR="005E2BAA">
              <w:rPr>
                <w:noProof/>
                <w:webHidden/>
              </w:rPr>
              <w:fldChar w:fldCharType="end"/>
            </w:r>
          </w:hyperlink>
        </w:p>
        <w:p w14:paraId="4ABD992C"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26" w:history="1">
            <w:r w:rsidR="005E2BAA" w:rsidRPr="00221E19">
              <w:rPr>
                <w:rStyle w:val="Hyperlink"/>
                <w:noProof/>
              </w:rPr>
              <w:t>1.3</w:t>
            </w:r>
            <w:r w:rsidR="005E2BAA">
              <w:rPr>
                <w:rFonts w:eastAsiaTheme="minorEastAsia" w:cstheme="minorBidi"/>
                <w:i w:val="0"/>
                <w:iCs w:val="0"/>
                <w:noProof/>
                <w:sz w:val="22"/>
                <w:szCs w:val="22"/>
                <w:lang w:val="en-NZ" w:eastAsia="en-NZ" w:bidi="ar-SA"/>
              </w:rPr>
              <w:tab/>
            </w:r>
            <w:r w:rsidR="005E2BAA" w:rsidRPr="00221E19">
              <w:rPr>
                <w:rStyle w:val="Hyperlink"/>
                <w:noProof/>
              </w:rPr>
              <w:t>Risk assessment questions</w:t>
            </w:r>
            <w:r w:rsidR="005E2BAA">
              <w:rPr>
                <w:noProof/>
                <w:webHidden/>
              </w:rPr>
              <w:tab/>
            </w:r>
            <w:r w:rsidR="005E2BAA">
              <w:rPr>
                <w:noProof/>
                <w:webHidden/>
              </w:rPr>
              <w:fldChar w:fldCharType="begin"/>
            </w:r>
            <w:r w:rsidR="005E2BAA">
              <w:rPr>
                <w:noProof/>
                <w:webHidden/>
              </w:rPr>
              <w:instrText xml:space="preserve"> PAGEREF _Toc478375826 \h </w:instrText>
            </w:r>
            <w:r w:rsidR="005E2BAA">
              <w:rPr>
                <w:noProof/>
                <w:webHidden/>
              </w:rPr>
            </w:r>
            <w:r w:rsidR="005E2BAA">
              <w:rPr>
                <w:noProof/>
                <w:webHidden/>
              </w:rPr>
              <w:fldChar w:fldCharType="separate"/>
            </w:r>
            <w:r w:rsidR="005E2BAA">
              <w:rPr>
                <w:noProof/>
                <w:webHidden/>
              </w:rPr>
              <w:t>25</w:t>
            </w:r>
            <w:r w:rsidR="005E2BAA">
              <w:rPr>
                <w:noProof/>
                <w:webHidden/>
              </w:rPr>
              <w:fldChar w:fldCharType="end"/>
            </w:r>
          </w:hyperlink>
        </w:p>
        <w:p w14:paraId="66AA1821"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27" w:history="1">
            <w:r w:rsidR="005E2BAA" w:rsidRPr="00221E19">
              <w:rPr>
                <w:rStyle w:val="Hyperlink"/>
                <w:noProof/>
              </w:rPr>
              <w:t>1.3.1</w:t>
            </w:r>
            <w:r w:rsidR="005E2BAA">
              <w:rPr>
                <w:rFonts w:eastAsiaTheme="minorEastAsia" w:cstheme="minorBidi"/>
                <w:i w:val="0"/>
                <w:iCs w:val="0"/>
                <w:noProof/>
                <w:sz w:val="22"/>
                <w:szCs w:val="22"/>
                <w:lang w:val="en-NZ" w:eastAsia="en-NZ" w:bidi="ar-SA"/>
              </w:rPr>
              <w:tab/>
            </w:r>
            <w:r w:rsidR="005E2BAA" w:rsidRPr="00221E19">
              <w:rPr>
                <w:rStyle w:val="Hyperlink"/>
                <w:noProof/>
              </w:rPr>
              <w:t>Technological function</w:t>
            </w:r>
            <w:r w:rsidR="005E2BAA">
              <w:rPr>
                <w:noProof/>
                <w:webHidden/>
              </w:rPr>
              <w:tab/>
            </w:r>
            <w:r w:rsidR="005E2BAA">
              <w:rPr>
                <w:noProof/>
                <w:webHidden/>
              </w:rPr>
              <w:fldChar w:fldCharType="begin"/>
            </w:r>
            <w:r w:rsidR="005E2BAA">
              <w:rPr>
                <w:noProof/>
                <w:webHidden/>
              </w:rPr>
              <w:instrText xml:space="preserve"> PAGEREF _Toc478375827 \h </w:instrText>
            </w:r>
            <w:r w:rsidR="005E2BAA">
              <w:rPr>
                <w:noProof/>
                <w:webHidden/>
              </w:rPr>
            </w:r>
            <w:r w:rsidR="005E2BAA">
              <w:rPr>
                <w:noProof/>
                <w:webHidden/>
              </w:rPr>
              <w:fldChar w:fldCharType="separate"/>
            </w:r>
            <w:r w:rsidR="005E2BAA">
              <w:rPr>
                <w:noProof/>
                <w:webHidden/>
              </w:rPr>
              <w:t>25</w:t>
            </w:r>
            <w:r w:rsidR="005E2BAA">
              <w:rPr>
                <w:noProof/>
                <w:webHidden/>
              </w:rPr>
              <w:fldChar w:fldCharType="end"/>
            </w:r>
          </w:hyperlink>
        </w:p>
        <w:p w14:paraId="266CA074"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28" w:history="1">
            <w:r w:rsidR="005E2BAA" w:rsidRPr="00221E19">
              <w:rPr>
                <w:rStyle w:val="Hyperlink"/>
                <w:noProof/>
              </w:rPr>
              <w:t>1.3.2</w:t>
            </w:r>
            <w:r w:rsidR="005E2BAA">
              <w:rPr>
                <w:rFonts w:eastAsiaTheme="minorEastAsia" w:cstheme="minorBidi"/>
                <w:i w:val="0"/>
                <w:iCs w:val="0"/>
                <w:noProof/>
                <w:sz w:val="22"/>
                <w:szCs w:val="22"/>
                <w:lang w:val="en-NZ" w:eastAsia="en-NZ" w:bidi="ar-SA"/>
              </w:rPr>
              <w:tab/>
            </w:r>
            <w:r w:rsidR="005E2BAA" w:rsidRPr="00221E19">
              <w:rPr>
                <w:rStyle w:val="Hyperlink"/>
                <w:noProof/>
              </w:rPr>
              <w:t>Health and safety</w:t>
            </w:r>
            <w:r w:rsidR="005E2BAA">
              <w:rPr>
                <w:noProof/>
                <w:webHidden/>
              </w:rPr>
              <w:tab/>
            </w:r>
            <w:r w:rsidR="005E2BAA">
              <w:rPr>
                <w:noProof/>
                <w:webHidden/>
              </w:rPr>
              <w:fldChar w:fldCharType="begin"/>
            </w:r>
            <w:r w:rsidR="005E2BAA">
              <w:rPr>
                <w:noProof/>
                <w:webHidden/>
              </w:rPr>
              <w:instrText xml:space="preserve"> PAGEREF _Toc478375828 \h </w:instrText>
            </w:r>
            <w:r w:rsidR="005E2BAA">
              <w:rPr>
                <w:noProof/>
                <w:webHidden/>
              </w:rPr>
            </w:r>
            <w:r w:rsidR="005E2BAA">
              <w:rPr>
                <w:noProof/>
                <w:webHidden/>
              </w:rPr>
              <w:fldChar w:fldCharType="separate"/>
            </w:r>
            <w:r w:rsidR="005E2BAA">
              <w:rPr>
                <w:noProof/>
                <w:webHidden/>
              </w:rPr>
              <w:t>25</w:t>
            </w:r>
            <w:r w:rsidR="005E2BAA">
              <w:rPr>
                <w:noProof/>
                <w:webHidden/>
              </w:rPr>
              <w:fldChar w:fldCharType="end"/>
            </w:r>
          </w:hyperlink>
        </w:p>
        <w:p w14:paraId="30543C49" w14:textId="77777777" w:rsidR="005E2BAA" w:rsidRDefault="000E611C">
          <w:pPr>
            <w:pStyle w:val="TOC2"/>
            <w:tabs>
              <w:tab w:val="left" w:pos="660"/>
              <w:tab w:val="right" w:leader="dot" w:pos="9060"/>
            </w:tabs>
            <w:rPr>
              <w:rFonts w:eastAsiaTheme="minorEastAsia" w:cstheme="minorBidi"/>
              <w:smallCaps w:val="0"/>
              <w:noProof/>
              <w:sz w:val="22"/>
              <w:szCs w:val="22"/>
              <w:lang w:val="en-NZ" w:eastAsia="en-NZ" w:bidi="ar-SA"/>
            </w:rPr>
          </w:pPr>
          <w:hyperlink w:anchor="_Toc478375829" w:history="1">
            <w:r w:rsidR="005E2BAA" w:rsidRPr="00221E19">
              <w:rPr>
                <w:rStyle w:val="Hyperlink"/>
                <w:noProof/>
              </w:rPr>
              <w:t>2</w:t>
            </w:r>
            <w:r w:rsidR="005E2BAA">
              <w:rPr>
                <w:rFonts w:eastAsiaTheme="minorEastAsia" w:cstheme="minorBidi"/>
                <w:smallCaps w:val="0"/>
                <w:noProof/>
                <w:sz w:val="22"/>
                <w:szCs w:val="22"/>
                <w:lang w:val="en-NZ" w:eastAsia="en-NZ" w:bidi="ar-SA"/>
              </w:rPr>
              <w:tab/>
            </w:r>
            <w:r w:rsidR="005E2BAA" w:rsidRPr="00221E19">
              <w:rPr>
                <w:rStyle w:val="Hyperlink"/>
                <w:noProof/>
              </w:rPr>
              <w:t>Food technology assessment</w:t>
            </w:r>
            <w:r w:rsidR="005E2BAA">
              <w:rPr>
                <w:noProof/>
                <w:webHidden/>
              </w:rPr>
              <w:tab/>
            </w:r>
            <w:r w:rsidR="005E2BAA">
              <w:rPr>
                <w:noProof/>
                <w:webHidden/>
              </w:rPr>
              <w:fldChar w:fldCharType="begin"/>
            </w:r>
            <w:r w:rsidR="005E2BAA">
              <w:rPr>
                <w:noProof/>
                <w:webHidden/>
              </w:rPr>
              <w:instrText xml:space="preserve"> PAGEREF _Toc478375829 \h </w:instrText>
            </w:r>
            <w:r w:rsidR="005E2BAA">
              <w:rPr>
                <w:noProof/>
                <w:webHidden/>
              </w:rPr>
            </w:r>
            <w:r w:rsidR="005E2BAA">
              <w:rPr>
                <w:noProof/>
                <w:webHidden/>
              </w:rPr>
              <w:fldChar w:fldCharType="separate"/>
            </w:r>
            <w:r w:rsidR="005E2BAA">
              <w:rPr>
                <w:noProof/>
                <w:webHidden/>
              </w:rPr>
              <w:t>26</w:t>
            </w:r>
            <w:r w:rsidR="005E2BAA">
              <w:rPr>
                <w:noProof/>
                <w:webHidden/>
              </w:rPr>
              <w:fldChar w:fldCharType="end"/>
            </w:r>
          </w:hyperlink>
        </w:p>
        <w:p w14:paraId="2A999490"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30" w:history="1">
            <w:r w:rsidR="005E2BAA" w:rsidRPr="00221E19">
              <w:rPr>
                <w:rStyle w:val="Hyperlink"/>
                <w:noProof/>
              </w:rPr>
              <w:t>2.1</w:t>
            </w:r>
            <w:r w:rsidR="005E2BAA">
              <w:rPr>
                <w:rFonts w:eastAsiaTheme="minorEastAsia" w:cstheme="minorBidi"/>
                <w:i w:val="0"/>
                <w:iCs w:val="0"/>
                <w:noProof/>
                <w:sz w:val="22"/>
                <w:szCs w:val="22"/>
                <w:lang w:val="en-NZ" w:eastAsia="en-NZ" w:bidi="ar-SA"/>
              </w:rPr>
              <w:tab/>
            </w:r>
            <w:r w:rsidR="005E2BAA" w:rsidRPr="00221E19">
              <w:rPr>
                <w:rStyle w:val="Hyperlink"/>
                <w:noProof/>
              </w:rPr>
              <w:t>Technological purpose</w:t>
            </w:r>
            <w:r w:rsidR="005E2BAA">
              <w:rPr>
                <w:noProof/>
                <w:webHidden/>
              </w:rPr>
              <w:tab/>
            </w:r>
            <w:r w:rsidR="005E2BAA">
              <w:rPr>
                <w:noProof/>
                <w:webHidden/>
              </w:rPr>
              <w:fldChar w:fldCharType="begin"/>
            </w:r>
            <w:r w:rsidR="005E2BAA">
              <w:rPr>
                <w:noProof/>
                <w:webHidden/>
              </w:rPr>
              <w:instrText xml:space="preserve"> PAGEREF _Toc478375830 \h </w:instrText>
            </w:r>
            <w:r w:rsidR="005E2BAA">
              <w:rPr>
                <w:noProof/>
                <w:webHidden/>
              </w:rPr>
            </w:r>
            <w:r w:rsidR="005E2BAA">
              <w:rPr>
                <w:noProof/>
                <w:webHidden/>
              </w:rPr>
              <w:fldChar w:fldCharType="separate"/>
            </w:r>
            <w:r w:rsidR="005E2BAA">
              <w:rPr>
                <w:noProof/>
                <w:webHidden/>
              </w:rPr>
              <w:t>26</w:t>
            </w:r>
            <w:r w:rsidR="005E2BAA">
              <w:rPr>
                <w:noProof/>
                <w:webHidden/>
              </w:rPr>
              <w:fldChar w:fldCharType="end"/>
            </w:r>
          </w:hyperlink>
        </w:p>
        <w:p w14:paraId="60E51C32"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31" w:history="1">
            <w:r w:rsidR="005E2BAA" w:rsidRPr="00221E19">
              <w:rPr>
                <w:rStyle w:val="Hyperlink"/>
                <w:noProof/>
              </w:rPr>
              <w:t>2.2</w:t>
            </w:r>
            <w:r w:rsidR="005E2BAA">
              <w:rPr>
                <w:rFonts w:eastAsiaTheme="minorEastAsia" w:cstheme="minorBidi"/>
                <w:i w:val="0"/>
                <w:iCs w:val="0"/>
                <w:noProof/>
                <w:sz w:val="22"/>
                <w:szCs w:val="22"/>
                <w:lang w:val="en-NZ" w:eastAsia="en-NZ" w:bidi="ar-SA"/>
              </w:rPr>
              <w:tab/>
            </w:r>
            <w:r w:rsidR="005E2BAA" w:rsidRPr="00221E19">
              <w:rPr>
                <w:rStyle w:val="Hyperlink"/>
                <w:noProof/>
              </w:rPr>
              <w:t>Technological justification</w:t>
            </w:r>
            <w:r w:rsidR="005E2BAA">
              <w:rPr>
                <w:noProof/>
                <w:webHidden/>
              </w:rPr>
              <w:tab/>
            </w:r>
            <w:r w:rsidR="005E2BAA">
              <w:rPr>
                <w:noProof/>
                <w:webHidden/>
              </w:rPr>
              <w:fldChar w:fldCharType="begin"/>
            </w:r>
            <w:r w:rsidR="005E2BAA">
              <w:rPr>
                <w:noProof/>
                <w:webHidden/>
              </w:rPr>
              <w:instrText xml:space="preserve"> PAGEREF _Toc478375831 \h </w:instrText>
            </w:r>
            <w:r w:rsidR="005E2BAA">
              <w:rPr>
                <w:noProof/>
                <w:webHidden/>
              </w:rPr>
            </w:r>
            <w:r w:rsidR="005E2BAA">
              <w:rPr>
                <w:noProof/>
                <w:webHidden/>
              </w:rPr>
              <w:fldChar w:fldCharType="separate"/>
            </w:r>
            <w:r w:rsidR="005E2BAA">
              <w:rPr>
                <w:noProof/>
                <w:webHidden/>
              </w:rPr>
              <w:t>26</w:t>
            </w:r>
            <w:r w:rsidR="005E2BAA">
              <w:rPr>
                <w:noProof/>
                <w:webHidden/>
              </w:rPr>
              <w:fldChar w:fldCharType="end"/>
            </w:r>
          </w:hyperlink>
        </w:p>
        <w:p w14:paraId="507799BB"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32" w:history="1">
            <w:r w:rsidR="005E2BAA" w:rsidRPr="00221E19">
              <w:rPr>
                <w:rStyle w:val="Hyperlink"/>
                <w:noProof/>
              </w:rPr>
              <w:t>2.3</w:t>
            </w:r>
            <w:r w:rsidR="005E2BAA">
              <w:rPr>
                <w:rFonts w:eastAsiaTheme="minorEastAsia" w:cstheme="minorBidi"/>
                <w:i w:val="0"/>
                <w:iCs w:val="0"/>
                <w:noProof/>
                <w:sz w:val="22"/>
                <w:szCs w:val="22"/>
                <w:lang w:val="en-NZ" w:eastAsia="en-NZ" w:bidi="ar-SA"/>
              </w:rPr>
              <w:tab/>
            </w:r>
            <w:r w:rsidR="005E2BAA" w:rsidRPr="00221E19">
              <w:rPr>
                <w:rStyle w:val="Hyperlink"/>
                <w:noProof/>
              </w:rPr>
              <w:t>Chemical properties</w:t>
            </w:r>
            <w:r w:rsidR="005E2BAA">
              <w:rPr>
                <w:noProof/>
                <w:webHidden/>
              </w:rPr>
              <w:tab/>
            </w:r>
            <w:r w:rsidR="005E2BAA">
              <w:rPr>
                <w:noProof/>
                <w:webHidden/>
              </w:rPr>
              <w:fldChar w:fldCharType="begin"/>
            </w:r>
            <w:r w:rsidR="005E2BAA">
              <w:rPr>
                <w:noProof/>
                <w:webHidden/>
              </w:rPr>
              <w:instrText xml:space="preserve"> PAGEREF _Toc478375832 \h </w:instrText>
            </w:r>
            <w:r w:rsidR="005E2BAA">
              <w:rPr>
                <w:noProof/>
                <w:webHidden/>
              </w:rPr>
            </w:r>
            <w:r w:rsidR="005E2BAA">
              <w:rPr>
                <w:noProof/>
                <w:webHidden/>
              </w:rPr>
              <w:fldChar w:fldCharType="separate"/>
            </w:r>
            <w:r w:rsidR="005E2BAA">
              <w:rPr>
                <w:noProof/>
                <w:webHidden/>
              </w:rPr>
              <w:t>27</w:t>
            </w:r>
            <w:r w:rsidR="005E2BAA">
              <w:rPr>
                <w:noProof/>
                <w:webHidden/>
              </w:rPr>
              <w:fldChar w:fldCharType="end"/>
            </w:r>
          </w:hyperlink>
        </w:p>
        <w:p w14:paraId="17518689"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33" w:history="1">
            <w:r w:rsidR="005E2BAA" w:rsidRPr="00221E19">
              <w:rPr>
                <w:rStyle w:val="Hyperlink"/>
                <w:noProof/>
              </w:rPr>
              <w:t>2.4</w:t>
            </w:r>
            <w:r w:rsidR="005E2BAA">
              <w:rPr>
                <w:rFonts w:eastAsiaTheme="minorEastAsia" w:cstheme="minorBidi"/>
                <w:i w:val="0"/>
                <w:iCs w:val="0"/>
                <w:noProof/>
                <w:sz w:val="22"/>
                <w:szCs w:val="22"/>
                <w:lang w:val="en-NZ" w:eastAsia="en-NZ" w:bidi="ar-SA"/>
              </w:rPr>
              <w:tab/>
            </w:r>
            <w:r w:rsidR="005E2BAA" w:rsidRPr="00221E19">
              <w:rPr>
                <w:rStyle w:val="Hyperlink"/>
                <w:noProof/>
              </w:rPr>
              <w:t>Analytical method for detection</w:t>
            </w:r>
            <w:r w:rsidR="005E2BAA">
              <w:rPr>
                <w:noProof/>
                <w:webHidden/>
              </w:rPr>
              <w:tab/>
            </w:r>
            <w:r w:rsidR="005E2BAA">
              <w:rPr>
                <w:noProof/>
                <w:webHidden/>
              </w:rPr>
              <w:fldChar w:fldCharType="begin"/>
            </w:r>
            <w:r w:rsidR="005E2BAA">
              <w:rPr>
                <w:noProof/>
                <w:webHidden/>
              </w:rPr>
              <w:instrText xml:space="preserve"> PAGEREF _Toc478375833 \h </w:instrText>
            </w:r>
            <w:r w:rsidR="005E2BAA">
              <w:rPr>
                <w:noProof/>
                <w:webHidden/>
              </w:rPr>
            </w:r>
            <w:r w:rsidR="005E2BAA">
              <w:rPr>
                <w:noProof/>
                <w:webHidden/>
              </w:rPr>
              <w:fldChar w:fldCharType="separate"/>
            </w:r>
            <w:r w:rsidR="005E2BAA">
              <w:rPr>
                <w:noProof/>
                <w:webHidden/>
              </w:rPr>
              <w:t>27</w:t>
            </w:r>
            <w:r w:rsidR="005E2BAA">
              <w:rPr>
                <w:noProof/>
                <w:webHidden/>
              </w:rPr>
              <w:fldChar w:fldCharType="end"/>
            </w:r>
          </w:hyperlink>
        </w:p>
        <w:p w14:paraId="2DA2E2F4"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34" w:history="1">
            <w:r w:rsidR="005E2BAA" w:rsidRPr="00221E19">
              <w:rPr>
                <w:rStyle w:val="Hyperlink"/>
                <w:noProof/>
              </w:rPr>
              <w:t>2.5</w:t>
            </w:r>
            <w:r w:rsidR="005E2BAA">
              <w:rPr>
                <w:rFonts w:eastAsiaTheme="minorEastAsia" w:cstheme="minorBidi"/>
                <w:i w:val="0"/>
                <w:iCs w:val="0"/>
                <w:noProof/>
                <w:sz w:val="22"/>
                <w:szCs w:val="22"/>
                <w:lang w:val="en-NZ" w:eastAsia="en-NZ" w:bidi="ar-SA"/>
              </w:rPr>
              <w:tab/>
            </w:r>
            <w:r w:rsidR="005E2BAA" w:rsidRPr="00221E19">
              <w:rPr>
                <w:rStyle w:val="Hyperlink"/>
                <w:noProof/>
              </w:rPr>
              <w:t>Manufacturing process</w:t>
            </w:r>
            <w:r w:rsidR="005E2BAA">
              <w:rPr>
                <w:noProof/>
                <w:webHidden/>
              </w:rPr>
              <w:tab/>
            </w:r>
            <w:r w:rsidR="005E2BAA">
              <w:rPr>
                <w:noProof/>
                <w:webHidden/>
              </w:rPr>
              <w:fldChar w:fldCharType="begin"/>
            </w:r>
            <w:r w:rsidR="005E2BAA">
              <w:rPr>
                <w:noProof/>
                <w:webHidden/>
              </w:rPr>
              <w:instrText xml:space="preserve"> PAGEREF _Toc478375834 \h </w:instrText>
            </w:r>
            <w:r w:rsidR="005E2BAA">
              <w:rPr>
                <w:noProof/>
                <w:webHidden/>
              </w:rPr>
            </w:r>
            <w:r w:rsidR="005E2BAA">
              <w:rPr>
                <w:noProof/>
                <w:webHidden/>
              </w:rPr>
              <w:fldChar w:fldCharType="separate"/>
            </w:r>
            <w:r w:rsidR="005E2BAA">
              <w:rPr>
                <w:noProof/>
                <w:webHidden/>
              </w:rPr>
              <w:t>27</w:t>
            </w:r>
            <w:r w:rsidR="005E2BAA">
              <w:rPr>
                <w:noProof/>
                <w:webHidden/>
              </w:rPr>
              <w:fldChar w:fldCharType="end"/>
            </w:r>
          </w:hyperlink>
        </w:p>
        <w:p w14:paraId="5CE9726C"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35" w:history="1">
            <w:r w:rsidR="005E2BAA" w:rsidRPr="00221E19">
              <w:rPr>
                <w:rStyle w:val="Hyperlink"/>
                <w:noProof/>
              </w:rPr>
              <w:t>2.6</w:t>
            </w:r>
            <w:r w:rsidR="005E2BAA">
              <w:rPr>
                <w:rFonts w:eastAsiaTheme="minorEastAsia" w:cstheme="minorBidi"/>
                <w:i w:val="0"/>
                <w:iCs w:val="0"/>
                <w:noProof/>
                <w:sz w:val="22"/>
                <w:szCs w:val="22"/>
                <w:lang w:val="en-NZ" w:eastAsia="en-NZ" w:bidi="ar-SA"/>
              </w:rPr>
              <w:tab/>
            </w:r>
            <w:r w:rsidR="005E2BAA" w:rsidRPr="00221E19">
              <w:rPr>
                <w:rStyle w:val="Hyperlink"/>
                <w:noProof/>
              </w:rPr>
              <w:t>Product specification</w:t>
            </w:r>
            <w:r w:rsidR="005E2BAA">
              <w:rPr>
                <w:noProof/>
                <w:webHidden/>
              </w:rPr>
              <w:tab/>
            </w:r>
            <w:r w:rsidR="005E2BAA">
              <w:rPr>
                <w:noProof/>
                <w:webHidden/>
              </w:rPr>
              <w:fldChar w:fldCharType="begin"/>
            </w:r>
            <w:r w:rsidR="005E2BAA">
              <w:rPr>
                <w:noProof/>
                <w:webHidden/>
              </w:rPr>
              <w:instrText xml:space="preserve"> PAGEREF _Toc478375835 \h </w:instrText>
            </w:r>
            <w:r w:rsidR="005E2BAA">
              <w:rPr>
                <w:noProof/>
                <w:webHidden/>
              </w:rPr>
            </w:r>
            <w:r w:rsidR="005E2BAA">
              <w:rPr>
                <w:noProof/>
                <w:webHidden/>
              </w:rPr>
              <w:fldChar w:fldCharType="separate"/>
            </w:r>
            <w:r w:rsidR="005E2BAA">
              <w:rPr>
                <w:noProof/>
                <w:webHidden/>
              </w:rPr>
              <w:t>28</w:t>
            </w:r>
            <w:r w:rsidR="005E2BAA">
              <w:rPr>
                <w:noProof/>
                <w:webHidden/>
              </w:rPr>
              <w:fldChar w:fldCharType="end"/>
            </w:r>
          </w:hyperlink>
        </w:p>
        <w:p w14:paraId="02D77387"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36" w:history="1">
            <w:r w:rsidR="005E2BAA" w:rsidRPr="00221E19">
              <w:rPr>
                <w:rStyle w:val="Hyperlink"/>
                <w:noProof/>
              </w:rPr>
              <w:t>2.7</w:t>
            </w:r>
            <w:r w:rsidR="005E2BAA">
              <w:rPr>
                <w:rFonts w:eastAsiaTheme="minorEastAsia" w:cstheme="minorBidi"/>
                <w:i w:val="0"/>
                <w:iCs w:val="0"/>
                <w:noProof/>
                <w:sz w:val="22"/>
                <w:szCs w:val="22"/>
                <w:lang w:val="en-NZ" w:eastAsia="en-NZ" w:bidi="ar-SA"/>
              </w:rPr>
              <w:tab/>
            </w:r>
            <w:r w:rsidR="005E2BAA" w:rsidRPr="00221E19">
              <w:rPr>
                <w:rStyle w:val="Hyperlink"/>
                <w:noProof/>
              </w:rPr>
              <w:t>Food technology conclusion</w:t>
            </w:r>
            <w:r w:rsidR="005E2BAA">
              <w:rPr>
                <w:noProof/>
                <w:webHidden/>
              </w:rPr>
              <w:tab/>
            </w:r>
            <w:r w:rsidR="005E2BAA">
              <w:rPr>
                <w:noProof/>
                <w:webHidden/>
              </w:rPr>
              <w:fldChar w:fldCharType="begin"/>
            </w:r>
            <w:r w:rsidR="005E2BAA">
              <w:rPr>
                <w:noProof/>
                <w:webHidden/>
              </w:rPr>
              <w:instrText xml:space="preserve"> PAGEREF _Toc478375836 \h </w:instrText>
            </w:r>
            <w:r w:rsidR="005E2BAA">
              <w:rPr>
                <w:noProof/>
                <w:webHidden/>
              </w:rPr>
            </w:r>
            <w:r w:rsidR="005E2BAA">
              <w:rPr>
                <w:noProof/>
                <w:webHidden/>
              </w:rPr>
              <w:fldChar w:fldCharType="separate"/>
            </w:r>
            <w:r w:rsidR="005E2BAA">
              <w:rPr>
                <w:noProof/>
                <w:webHidden/>
              </w:rPr>
              <w:t>28</w:t>
            </w:r>
            <w:r w:rsidR="005E2BAA">
              <w:rPr>
                <w:noProof/>
                <w:webHidden/>
              </w:rPr>
              <w:fldChar w:fldCharType="end"/>
            </w:r>
          </w:hyperlink>
        </w:p>
        <w:p w14:paraId="1E77B0CD" w14:textId="77777777" w:rsidR="005E2BAA" w:rsidRDefault="000E611C">
          <w:pPr>
            <w:pStyle w:val="TOC2"/>
            <w:tabs>
              <w:tab w:val="left" w:pos="660"/>
              <w:tab w:val="right" w:leader="dot" w:pos="9060"/>
            </w:tabs>
            <w:rPr>
              <w:rFonts w:eastAsiaTheme="minorEastAsia" w:cstheme="minorBidi"/>
              <w:smallCaps w:val="0"/>
              <w:noProof/>
              <w:sz w:val="22"/>
              <w:szCs w:val="22"/>
              <w:lang w:val="en-NZ" w:eastAsia="en-NZ" w:bidi="ar-SA"/>
            </w:rPr>
          </w:pPr>
          <w:hyperlink w:anchor="_Toc478375837" w:history="1">
            <w:r w:rsidR="005E2BAA" w:rsidRPr="00221E19">
              <w:rPr>
                <w:rStyle w:val="Hyperlink"/>
                <w:noProof/>
              </w:rPr>
              <w:t>3</w:t>
            </w:r>
            <w:r w:rsidR="005E2BAA">
              <w:rPr>
                <w:rFonts w:eastAsiaTheme="minorEastAsia" w:cstheme="minorBidi"/>
                <w:smallCaps w:val="0"/>
                <w:noProof/>
                <w:sz w:val="22"/>
                <w:szCs w:val="22"/>
                <w:lang w:val="en-NZ" w:eastAsia="en-NZ" w:bidi="ar-SA"/>
              </w:rPr>
              <w:tab/>
            </w:r>
            <w:r w:rsidR="005E2BAA" w:rsidRPr="00221E19">
              <w:rPr>
                <w:rStyle w:val="Hyperlink"/>
                <w:noProof/>
              </w:rPr>
              <w:t>Hazard assessment</w:t>
            </w:r>
            <w:r w:rsidR="005E2BAA">
              <w:rPr>
                <w:noProof/>
                <w:webHidden/>
              </w:rPr>
              <w:tab/>
            </w:r>
            <w:r w:rsidR="005E2BAA">
              <w:rPr>
                <w:noProof/>
                <w:webHidden/>
              </w:rPr>
              <w:fldChar w:fldCharType="begin"/>
            </w:r>
            <w:r w:rsidR="005E2BAA">
              <w:rPr>
                <w:noProof/>
                <w:webHidden/>
              </w:rPr>
              <w:instrText xml:space="preserve"> PAGEREF _Toc478375837 \h </w:instrText>
            </w:r>
            <w:r w:rsidR="005E2BAA">
              <w:rPr>
                <w:noProof/>
                <w:webHidden/>
              </w:rPr>
            </w:r>
            <w:r w:rsidR="005E2BAA">
              <w:rPr>
                <w:noProof/>
                <w:webHidden/>
              </w:rPr>
              <w:fldChar w:fldCharType="separate"/>
            </w:r>
            <w:r w:rsidR="005E2BAA">
              <w:rPr>
                <w:noProof/>
                <w:webHidden/>
              </w:rPr>
              <w:t>28</w:t>
            </w:r>
            <w:r w:rsidR="005E2BAA">
              <w:rPr>
                <w:noProof/>
                <w:webHidden/>
              </w:rPr>
              <w:fldChar w:fldCharType="end"/>
            </w:r>
          </w:hyperlink>
        </w:p>
        <w:p w14:paraId="70C66923"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38" w:history="1">
            <w:r w:rsidR="005E2BAA" w:rsidRPr="00221E19">
              <w:rPr>
                <w:rStyle w:val="Hyperlink"/>
                <w:noProof/>
              </w:rPr>
              <w:t>3.1</w:t>
            </w:r>
            <w:r w:rsidR="005E2BAA">
              <w:rPr>
                <w:rFonts w:eastAsiaTheme="minorEastAsia" w:cstheme="minorBidi"/>
                <w:i w:val="0"/>
                <w:iCs w:val="0"/>
                <w:noProof/>
                <w:sz w:val="22"/>
                <w:szCs w:val="22"/>
                <w:lang w:val="en-NZ" w:eastAsia="en-NZ" w:bidi="ar-SA"/>
              </w:rPr>
              <w:tab/>
            </w:r>
            <w:r w:rsidR="005E2BAA" w:rsidRPr="00221E19">
              <w:rPr>
                <w:rStyle w:val="Hyperlink"/>
                <w:noProof/>
              </w:rPr>
              <w:t>Toxicity studies</w:t>
            </w:r>
            <w:r w:rsidR="005E2BAA">
              <w:rPr>
                <w:noProof/>
                <w:webHidden/>
              </w:rPr>
              <w:tab/>
            </w:r>
            <w:r w:rsidR="005E2BAA">
              <w:rPr>
                <w:noProof/>
                <w:webHidden/>
              </w:rPr>
              <w:fldChar w:fldCharType="begin"/>
            </w:r>
            <w:r w:rsidR="005E2BAA">
              <w:rPr>
                <w:noProof/>
                <w:webHidden/>
              </w:rPr>
              <w:instrText xml:space="preserve"> PAGEREF _Toc478375838 \h </w:instrText>
            </w:r>
            <w:r w:rsidR="005E2BAA">
              <w:rPr>
                <w:noProof/>
                <w:webHidden/>
              </w:rPr>
            </w:r>
            <w:r w:rsidR="005E2BAA">
              <w:rPr>
                <w:noProof/>
                <w:webHidden/>
              </w:rPr>
              <w:fldChar w:fldCharType="separate"/>
            </w:r>
            <w:r w:rsidR="005E2BAA">
              <w:rPr>
                <w:noProof/>
                <w:webHidden/>
              </w:rPr>
              <w:t>28</w:t>
            </w:r>
            <w:r w:rsidR="005E2BAA">
              <w:rPr>
                <w:noProof/>
                <w:webHidden/>
              </w:rPr>
              <w:fldChar w:fldCharType="end"/>
            </w:r>
          </w:hyperlink>
        </w:p>
        <w:p w14:paraId="06BC4B32"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39" w:history="1">
            <w:r w:rsidR="005E2BAA" w:rsidRPr="00221E19">
              <w:rPr>
                <w:rStyle w:val="Hyperlink"/>
                <w:noProof/>
              </w:rPr>
              <w:t>3.2</w:t>
            </w:r>
            <w:r w:rsidR="005E2BAA">
              <w:rPr>
                <w:rFonts w:eastAsiaTheme="minorEastAsia" w:cstheme="minorBidi"/>
                <w:i w:val="0"/>
                <w:iCs w:val="0"/>
                <w:noProof/>
                <w:sz w:val="22"/>
                <w:szCs w:val="22"/>
                <w:lang w:val="en-NZ" w:eastAsia="en-NZ" w:bidi="ar-SA"/>
              </w:rPr>
              <w:tab/>
            </w:r>
            <w:r w:rsidR="005E2BAA" w:rsidRPr="00221E19">
              <w:rPr>
                <w:rStyle w:val="Hyperlink"/>
                <w:noProof/>
              </w:rPr>
              <w:t>Assessments by other regulatory agencies</w:t>
            </w:r>
            <w:r w:rsidR="005E2BAA">
              <w:rPr>
                <w:noProof/>
                <w:webHidden/>
              </w:rPr>
              <w:tab/>
            </w:r>
            <w:r w:rsidR="005E2BAA">
              <w:rPr>
                <w:noProof/>
                <w:webHidden/>
              </w:rPr>
              <w:fldChar w:fldCharType="begin"/>
            </w:r>
            <w:r w:rsidR="005E2BAA">
              <w:rPr>
                <w:noProof/>
                <w:webHidden/>
              </w:rPr>
              <w:instrText xml:space="preserve"> PAGEREF _Toc478375839 \h </w:instrText>
            </w:r>
            <w:r w:rsidR="005E2BAA">
              <w:rPr>
                <w:noProof/>
                <w:webHidden/>
              </w:rPr>
            </w:r>
            <w:r w:rsidR="005E2BAA">
              <w:rPr>
                <w:noProof/>
                <w:webHidden/>
              </w:rPr>
              <w:fldChar w:fldCharType="separate"/>
            </w:r>
            <w:r w:rsidR="005E2BAA">
              <w:rPr>
                <w:noProof/>
                <w:webHidden/>
              </w:rPr>
              <w:t>28</w:t>
            </w:r>
            <w:r w:rsidR="005E2BAA">
              <w:rPr>
                <w:noProof/>
                <w:webHidden/>
              </w:rPr>
              <w:fldChar w:fldCharType="end"/>
            </w:r>
          </w:hyperlink>
        </w:p>
        <w:p w14:paraId="009D6ACD"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40" w:history="1">
            <w:r w:rsidR="005E2BAA" w:rsidRPr="00221E19">
              <w:rPr>
                <w:rStyle w:val="Hyperlink"/>
                <w:noProof/>
              </w:rPr>
              <w:t>3.3</w:t>
            </w:r>
            <w:r w:rsidR="005E2BAA">
              <w:rPr>
                <w:rFonts w:eastAsiaTheme="minorEastAsia" w:cstheme="minorBidi"/>
                <w:i w:val="0"/>
                <w:iCs w:val="0"/>
                <w:noProof/>
                <w:sz w:val="22"/>
                <w:szCs w:val="22"/>
                <w:lang w:val="en-NZ" w:eastAsia="en-NZ" w:bidi="ar-SA"/>
              </w:rPr>
              <w:tab/>
            </w:r>
            <w:r w:rsidR="005E2BAA" w:rsidRPr="00221E19">
              <w:rPr>
                <w:rStyle w:val="Hyperlink"/>
                <w:noProof/>
              </w:rPr>
              <w:t>Hazard assessment conclusion</w:t>
            </w:r>
            <w:r w:rsidR="005E2BAA">
              <w:rPr>
                <w:noProof/>
                <w:webHidden/>
              </w:rPr>
              <w:tab/>
            </w:r>
            <w:r w:rsidR="005E2BAA">
              <w:rPr>
                <w:noProof/>
                <w:webHidden/>
              </w:rPr>
              <w:fldChar w:fldCharType="begin"/>
            </w:r>
            <w:r w:rsidR="005E2BAA">
              <w:rPr>
                <w:noProof/>
                <w:webHidden/>
              </w:rPr>
              <w:instrText xml:space="preserve"> PAGEREF _Toc478375840 \h </w:instrText>
            </w:r>
            <w:r w:rsidR="005E2BAA">
              <w:rPr>
                <w:noProof/>
                <w:webHidden/>
              </w:rPr>
            </w:r>
            <w:r w:rsidR="005E2BAA">
              <w:rPr>
                <w:noProof/>
                <w:webHidden/>
              </w:rPr>
              <w:fldChar w:fldCharType="separate"/>
            </w:r>
            <w:r w:rsidR="005E2BAA">
              <w:rPr>
                <w:noProof/>
                <w:webHidden/>
              </w:rPr>
              <w:t>28</w:t>
            </w:r>
            <w:r w:rsidR="005E2BAA">
              <w:rPr>
                <w:noProof/>
                <w:webHidden/>
              </w:rPr>
              <w:fldChar w:fldCharType="end"/>
            </w:r>
          </w:hyperlink>
        </w:p>
        <w:p w14:paraId="3216DF57" w14:textId="77777777" w:rsidR="005E2BAA" w:rsidRDefault="000E611C">
          <w:pPr>
            <w:pStyle w:val="TOC2"/>
            <w:tabs>
              <w:tab w:val="left" w:pos="660"/>
              <w:tab w:val="right" w:leader="dot" w:pos="9060"/>
            </w:tabs>
            <w:rPr>
              <w:rFonts w:eastAsiaTheme="minorEastAsia" w:cstheme="minorBidi"/>
              <w:smallCaps w:val="0"/>
              <w:noProof/>
              <w:sz w:val="22"/>
              <w:szCs w:val="22"/>
              <w:lang w:val="en-NZ" w:eastAsia="en-NZ" w:bidi="ar-SA"/>
            </w:rPr>
          </w:pPr>
          <w:hyperlink w:anchor="_Toc478375841" w:history="1">
            <w:r w:rsidR="005E2BAA" w:rsidRPr="00221E19">
              <w:rPr>
                <w:rStyle w:val="Hyperlink"/>
                <w:noProof/>
              </w:rPr>
              <w:t>4</w:t>
            </w:r>
            <w:r w:rsidR="005E2BAA">
              <w:rPr>
                <w:rFonts w:eastAsiaTheme="minorEastAsia" w:cstheme="minorBidi"/>
                <w:smallCaps w:val="0"/>
                <w:noProof/>
                <w:sz w:val="22"/>
                <w:szCs w:val="22"/>
                <w:lang w:val="en-NZ" w:eastAsia="en-NZ" w:bidi="ar-SA"/>
              </w:rPr>
              <w:tab/>
            </w:r>
            <w:r w:rsidR="005E2BAA" w:rsidRPr="00221E19">
              <w:rPr>
                <w:rStyle w:val="Hyperlink"/>
                <w:noProof/>
              </w:rPr>
              <w:t>Dietary exposure assessment</w:t>
            </w:r>
            <w:r w:rsidR="005E2BAA">
              <w:rPr>
                <w:noProof/>
                <w:webHidden/>
              </w:rPr>
              <w:tab/>
            </w:r>
            <w:r w:rsidR="005E2BAA">
              <w:rPr>
                <w:noProof/>
                <w:webHidden/>
              </w:rPr>
              <w:fldChar w:fldCharType="begin"/>
            </w:r>
            <w:r w:rsidR="005E2BAA">
              <w:rPr>
                <w:noProof/>
                <w:webHidden/>
              </w:rPr>
              <w:instrText xml:space="preserve"> PAGEREF _Toc478375841 \h </w:instrText>
            </w:r>
            <w:r w:rsidR="005E2BAA">
              <w:rPr>
                <w:noProof/>
                <w:webHidden/>
              </w:rPr>
            </w:r>
            <w:r w:rsidR="005E2BAA">
              <w:rPr>
                <w:noProof/>
                <w:webHidden/>
              </w:rPr>
              <w:fldChar w:fldCharType="separate"/>
            </w:r>
            <w:r w:rsidR="005E2BAA">
              <w:rPr>
                <w:noProof/>
                <w:webHidden/>
              </w:rPr>
              <w:t>28</w:t>
            </w:r>
            <w:r w:rsidR="005E2BAA">
              <w:rPr>
                <w:noProof/>
                <w:webHidden/>
              </w:rPr>
              <w:fldChar w:fldCharType="end"/>
            </w:r>
          </w:hyperlink>
        </w:p>
        <w:p w14:paraId="3282CE2C" w14:textId="77777777" w:rsidR="005E2BAA" w:rsidRDefault="000E611C">
          <w:pPr>
            <w:pStyle w:val="TOC2"/>
            <w:tabs>
              <w:tab w:val="left" w:pos="660"/>
              <w:tab w:val="right" w:leader="dot" w:pos="9060"/>
            </w:tabs>
            <w:rPr>
              <w:rFonts w:eastAsiaTheme="minorEastAsia" w:cstheme="minorBidi"/>
              <w:smallCaps w:val="0"/>
              <w:noProof/>
              <w:sz w:val="22"/>
              <w:szCs w:val="22"/>
              <w:lang w:val="en-NZ" w:eastAsia="en-NZ" w:bidi="ar-SA"/>
            </w:rPr>
          </w:pPr>
          <w:hyperlink w:anchor="_Toc478375842" w:history="1">
            <w:r w:rsidR="005E2BAA" w:rsidRPr="00221E19">
              <w:rPr>
                <w:rStyle w:val="Hyperlink"/>
                <w:noProof/>
              </w:rPr>
              <w:t>5</w:t>
            </w:r>
            <w:r w:rsidR="005E2BAA">
              <w:rPr>
                <w:rFonts w:eastAsiaTheme="minorEastAsia" w:cstheme="minorBidi"/>
                <w:smallCaps w:val="0"/>
                <w:noProof/>
                <w:sz w:val="22"/>
                <w:szCs w:val="22"/>
                <w:lang w:val="en-NZ" w:eastAsia="en-NZ" w:bidi="ar-SA"/>
              </w:rPr>
              <w:tab/>
            </w:r>
            <w:r w:rsidR="005E2BAA" w:rsidRPr="00221E19">
              <w:rPr>
                <w:rStyle w:val="Hyperlink"/>
                <w:noProof/>
              </w:rPr>
              <w:t>Risk assessment conclusion</w:t>
            </w:r>
            <w:r w:rsidR="005E2BAA">
              <w:rPr>
                <w:noProof/>
                <w:webHidden/>
              </w:rPr>
              <w:tab/>
            </w:r>
            <w:r w:rsidR="005E2BAA">
              <w:rPr>
                <w:noProof/>
                <w:webHidden/>
              </w:rPr>
              <w:fldChar w:fldCharType="begin"/>
            </w:r>
            <w:r w:rsidR="005E2BAA">
              <w:rPr>
                <w:noProof/>
                <w:webHidden/>
              </w:rPr>
              <w:instrText xml:space="preserve"> PAGEREF _Toc478375842 \h </w:instrText>
            </w:r>
            <w:r w:rsidR="005E2BAA">
              <w:rPr>
                <w:noProof/>
                <w:webHidden/>
              </w:rPr>
            </w:r>
            <w:r w:rsidR="005E2BAA">
              <w:rPr>
                <w:noProof/>
                <w:webHidden/>
              </w:rPr>
              <w:fldChar w:fldCharType="separate"/>
            </w:r>
            <w:r w:rsidR="005E2BAA">
              <w:rPr>
                <w:noProof/>
                <w:webHidden/>
              </w:rPr>
              <w:t>29</w:t>
            </w:r>
            <w:r w:rsidR="005E2BAA">
              <w:rPr>
                <w:noProof/>
                <w:webHidden/>
              </w:rPr>
              <w:fldChar w:fldCharType="end"/>
            </w:r>
          </w:hyperlink>
        </w:p>
        <w:p w14:paraId="5F2C2A7D" w14:textId="77777777" w:rsidR="005E2BAA" w:rsidRDefault="000E611C">
          <w:pPr>
            <w:pStyle w:val="TOC1"/>
            <w:tabs>
              <w:tab w:val="right" w:leader="dot" w:pos="9060"/>
            </w:tabs>
            <w:rPr>
              <w:rFonts w:eastAsiaTheme="minorEastAsia" w:cstheme="minorBidi"/>
              <w:b w:val="0"/>
              <w:bCs w:val="0"/>
              <w:caps w:val="0"/>
              <w:noProof/>
              <w:sz w:val="22"/>
              <w:szCs w:val="22"/>
              <w:lang w:val="en-NZ" w:eastAsia="en-NZ" w:bidi="ar-SA"/>
            </w:rPr>
          </w:pPr>
          <w:hyperlink w:anchor="_Toc478375843" w:history="1">
            <w:r w:rsidR="005E2BAA" w:rsidRPr="00221E19">
              <w:rPr>
                <w:rStyle w:val="Hyperlink"/>
                <w:noProof/>
              </w:rPr>
              <w:t>Part D: Silver chloride</w:t>
            </w:r>
            <w:r w:rsidR="005E2BAA">
              <w:rPr>
                <w:noProof/>
                <w:webHidden/>
              </w:rPr>
              <w:tab/>
            </w:r>
            <w:r w:rsidR="005E2BAA">
              <w:rPr>
                <w:noProof/>
                <w:webHidden/>
              </w:rPr>
              <w:fldChar w:fldCharType="begin"/>
            </w:r>
            <w:r w:rsidR="005E2BAA">
              <w:rPr>
                <w:noProof/>
                <w:webHidden/>
              </w:rPr>
              <w:instrText xml:space="preserve"> PAGEREF _Toc478375843 \h </w:instrText>
            </w:r>
            <w:r w:rsidR="005E2BAA">
              <w:rPr>
                <w:noProof/>
                <w:webHidden/>
              </w:rPr>
            </w:r>
            <w:r w:rsidR="005E2BAA">
              <w:rPr>
                <w:noProof/>
                <w:webHidden/>
              </w:rPr>
              <w:fldChar w:fldCharType="separate"/>
            </w:r>
            <w:r w:rsidR="005E2BAA">
              <w:rPr>
                <w:noProof/>
                <w:webHidden/>
              </w:rPr>
              <w:t>30</w:t>
            </w:r>
            <w:r w:rsidR="005E2BAA">
              <w:rPr>
                <w:noProof/>
                <w:webHidden/>
              </w:rPr>
              <w:fldChar w:fldCharType="end"/>
            </w:r>
          </w:hyperlink>
        </w:p>
        <w:p w14:paraId="3C66DDF5" w14:textId="77777777" w:rsidR="005E2BAA" w:rsidRDefault="000E611C">
          <w:pPr>
            <w:pStyle w:val="TOC2"/>
            <w:tabs>
              <w:tab w:val="left" w:pos="660"/>
              <w:tab w:val="right" w:leader="dot" w:pos="9060"/>
            </w:tabs>
            <w:rPr>
              <w:rFonts w:eastAsiaTheme="minorEastAsia" w:cstheme="minorBidi"/>
              <w:smallCaps w:val="0"/>
              <w:noProof/>
              <w:sz w:val="22"/>
              <w:szCs w:val="22"/>
              <w:lang w:val="en-NZ" w:eastAsia="en-NZ" w:bidi="ar-SA"/>
            </w:rPr>
          </w:pPr>
          <w:hyperlink w:anchor="_Toc478375844" w:history="1">
            <w:r w:rsidR="005E2BAA" w:rsidRPr="00221E19">
              <w:rPr>
                <w:rStyle w:val="Hyperlink"/>
                <w:noProof/>
              </w:rPr>
              <w:t>1</w:t>
            </w:r>
            <w:r w:rsidR="005E2BAA">
              <w:rPr>
                <w:rFonts w:eastAsiaTheme="minorEastAsia" w:cstheme="minorBidi"/>
                <w:smallCaps w:val="0"/>
                <w:noProof/>
                <w:sz w:val="22"/>
                <w:szCs w:val="22"/>
                <w:lang w:val="en-NZ" w:eastAsia="en-NZ" w:bidi="ar-SA"/>
              </w:rPr>
              <w:tab/>
            </w:r>
            <w:r w:rsidR="005E2BAA" w:rsidRPr="00221E19">
              <w:rPr>
                <w:rStyle w:val="Hyperlink"/>
                <w:noProof/>
              </w:rPr>
              <w:t>Introduction</w:t>
            </w:r>
            <w:r w:rsidR="005E2BAA">
              <w:rPr>
                <w:noProof/>
                <w:webHidden/>
              </w:rPr>
              <w:tab/>
            </w:r>
            <w:r w:rsidR="005E2BAA">
              <w:rPr>
                <w:noProof/>
                <w:webHidden/>
              </w:rPr>
              <w:fldChar w:fldCharType="begin"/>
            </w:r>
            <w:r w:rsidR="005E2BAA">
              <w:rPr>
                <w:noProof/>
                <w:webHidden/>
              </w:rPr>
              <w:instrText xml:space="preserve"> PAGEREF _Toc478375844 \h </w:instrText>
            </w:r>
            <w:r w:rsidR="005E2BAA">
              <w:rPr>
                <w:noProof/>
                <w:webHidden/>
              </w:rPr>
            </w:r>
            <w:r w:rsidR="005E2BAA">
              <w:rPr>
                <w:noProof/>
                <w:webHidden/>
              </w:rPr>
              <w:fldChar w:fldCharType="separate"/>
            </w:r>
            <w:r w:rsidR="005E2BAA">
              <w:rPr>
                <w:noProof/>
                <w:webHidden/>
              </w:rPr>
              <w:t>30</w:t>
            </w:r>
            <w:r w:rsidR="005E2BAA">
              <w:rPr>
                <w:noProof/>
                <w:webHidden/>
              </w:rPr>
              <w:fldChar w:fldCharType="end"/>
            </w:r>
          </w:hyperlink>
        </w:p>
        <w:p w14:paraId="515DC862"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45" w:history="1">
            <w:r w:rsidR="005E2BAA" w:rsidRPr="00221E19">
              <w:rPr>
                <w:rStyle w:val="Hyperlink"/>
                <w:noProof/>
              </w:rPr>
              <w:t>1.1</w:t>
            </w:r>
            <w:r w:rsidR="005E2BAA">
              <w:rPr>
                <w:rFonts w:eastAsiaTheme="minorEastAsia" w:cstheme="minorBidi"/>
                <w:i w:val="0"/>
                <w:iCs w:val="0"/>
                <w:noProof/>
                <w:sz w:val="22"/>
                <w:szCs w:val="22"/>
                <w:lang w:val="en-NZ" w:eastAsia="en-NZ" w:bidi="ar-SA"/>
              </w:rPr>
              <w:tab/>
            </w:r>
            <w:r w:rsidR="005E2BAA" w:rsidRPr="00221E19">
              <w:rPr>
                <w:rStyle w:val="Hyperlink"/>
                <w:noProof/>
              </w:rPr>
              <w:t>Introduction</w:t>
            </w:r>
            <w:r w:rsidR="005E2BAA">
              <w:rPr>
                <w:noProof/>
                <w:webHidden/>
              </w:rPr>
              <w:tab/>
            </w:r>
            <w:r w:rsidR="005E2BAA">
              <w:rPr>
                <w:noProof/>
                <w:webHidden/>
              </w:rPr>
              <w:fldChar w:fldCharType="begin"/>
            </w:r>
            <w:r w:rsidR="005E2BAA">
              <w:rPr>
                <w:noProof/>
                <w:webHidden/>
              </w:rPr>
              <w:instrText xml:space="preserve"> PAGEREF _Toc478375845 \h </w:instrText>
            </w:r>
            <w:r w:rsidR="005E2BAA">
              <w:rPr>
                <w:noProof/>
                <w:webHidden/>
              </w:rPr>
            </w:r>
            <w:r w:rsidR="005E2BAA">
              <w:rPr>
                <w:noProof/>
                <w:webHidden/>
              </w:rPr>
              <w:fldChar w:fldCharType="separate"/>
            </w:r>
            <w:r w:rsidR="005E2BAA">
              <w:rPr>
                <w:noProof/>
                <w:webHidden/>
              </w:rPr>
              <w:t>30</w:t>
            </w:r>
            <w:r w:rsidR="005E2BAA">
              <w:rPr>
                <w:noProof/>
                <w:webHidden/>
              </w:rPr>
              <w:fldChar w:fldCharType="end"/>
            </w:r>
          </w:hyperlink>
        </w:p>
        <w:p w14:paraId="15DD4347"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46" w:history="1">
            <w:r w:rsidR="005E2BAA" w:rsidRPr="00221E19">
              <w:rPr>
                <w:rStyle w:val="Hyperlink"/>
                <w:noProof/>
              </w:rPr>
              <w:t>1.2</w:t>
            </w:r>
            <w:r w:rsidR="005E2BAA">
              <w:rPr>
                <w:rFonts w:eastAsiaTheme="minorEastAsia" w:cstheme="minorBidi"/>
                <w:i w:val="0"/>
                <w:iCs w:val="0"/>
                <w:noProof/>
                <w:sz w:val="22"/>
                <w:szCs w:val="22"/>
                <w:lang w:val="en-NZ" w:eastAsia="en-NZ" w:bidi="ar-SA"/>
              </w:rPr>
              <w:tab/>
            </w:r>
            <w:r w:rsidR="005E2BAA" w:rsidRPr="00221E19">
              <w:rPr>
                <w:rStyle w:val="Hyperlink"/>
                <w:noProof/>
              </w:rPr>
              <w:t>Current permissions</w:t>
            </w:r>
            <w:r w:rsidR="005E2BAA">
              <w:rPr>
                <w:noProof/>
                <w:webHidden/>
              </w:rPr>
              <w:tab/>
            </w:r>
            <w:r w:rsidR="005E2BAA">
              <w:rPr>
                <w:noProof/>
                <w:webHidden/>
              </w:rPr>
              <w:fldChar w:fldCharType="begin"/>
            </w:r>
            <w:r w:rsidR="005E2BAA">
              <w:rPr>
                <w:noProof/>
                <w:webHidden/>
              </w:rPr>
              <w:instrText xml:space="preserve"> PAGEREF _Toc478375846 \h </w:instrText>
            </w:r>
            <w:r w:rsidR="005E2BAA">
              <w:rPr>
                <w:noProof/>
                <w:webHidden/>
              </w:rPr>
            </w:r>
            <w:r w:rsidR="005E2BAA">
              <w:rPr>
                <w:noProof/>
                <w:webHidden/>
              </w:rPr>
              <w:fldChar w:fldCharType="separate"/>
            </w:r>
            <w:r w:rsidR="005E2BAA">
              <w:rPr>
                <w:noProof/>
                <w:webHidden/>
              </w:rPr>
              <w:t>30</w:t>
            </w:r>
            <w:r w:rsidR="005E2BAA">
              <w:rPr>
                <w:noProof/>
                <w:webHidden/>
              </w:rPr>
              <w:fldChar w:fldCharType="end"/>
            </w:r>
          </w:hyperlink>
        </w:p>
        <w:p w14:paraId="646AAEF1"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47" w:history="1">
            <w:r w:rsidR="005E2BAA" w:rsidRPr="00221E19">
              <w:rPr>
                <w:rStyle w:val="Hyperlink"/>
                <w:noProof/>
              </w:rPr>
              <w:t>1.3</w:t>
            </w:r>
            <w:r w:rsidR="005E2BAA">
              <w:rPr>
                <w:rFonts w:eastAsiaTheme="minorEastAsia" w:cstheme="minorBidi"/>
                <w:i w:val="0"/>
                <w:iCs w:val="0"/>
                <w:noProof/>
                <w:sz w:val="22"/>
                <w:szCs w:val="22"/>
                <w:lang w:val="en-NZ" w:eastAsia="en-NZ" w:bidi="ar-SA"/>
              </w:rPr>
              <w:tab/>
            </w:r>
            <w:r w:rsidR="005E2BAA" w:rsidRPr="00221E19">
              <w:rPr>
                <w:rStyle w:val="Hyperlink"/>
                <w:noProof/>
              </w:rPr>
              <w:t>Risk Assessment Questions</w:t>
            </w:r>
            <w:r w:rsidR="005E2BAA">
              <w:rPr>
                <w:noProof/>
                <w:webHidden/>
              </w:rPr>
              <w:tab/>
            </w:r>
            <w:r w:rsidR="005E2BAA">
              <w:rPr>
                <w:noProof/>
                <w:webHidden/>
              </w:rPr>
              <w:fldChar w:fldCharType="begin"/>
            </w:r>
            <w:r w:rsidR="005E2BAA">
              <w:rPr>
                <w:noProof/>
                <w:webHidden/>
              </w:rPr>
              <w:instrText xml:space="preserve"> PAGEREF _Toc478375847 \h </w:instrText>
            </w:r>
            <w:r w:rsidR="005E2BAA">
              <w:rPr>
                <w:noProof/>
                <w:webHidden/>
              </w:rPr>
            </w:r>
            <w:r w:rsidR="005E2BAA">
              <w:rPr>
                <w:noProof/>
                <w:webHidden/>
              </w:rPr>
              <w:fldChar w:fldCharType="separate"/>
            </w:r>
            <w:r w:rsidR="005E2BAA">
              <w:rPr>
                <w:noProof/>
                <w:webHidden/>
              </w:rPr>
              <w:t>30</w:t>
            </w:r>
            <w:r w:rsidR="005E2BAA">
              <w:rPr>
                <w:noProof/>
                <w:webHidden/>
              </w:rPr>
              <w:fldChar w:fldCharType="end"/>
            </w:r>
          </w:hyperlink>
        </w:p>
        <w:p w14:paraId="6BC63D92" w14:textId="77777777" w:rsidR="005E2BAA" w:rsidRDefault="000E611C">
          <w:pPr>
            <w:pStyle w:val="TOC2"/>
            <w:tabs>
              <w:tab w:val="left" w:pos="660"/>
              <w:tab w:val="right" w:leader="dot" w:pos="9060"/>
            </w:tabs>
            <w:rPr>
              <w:rFonts w:eastAsiaTheme="minorEastAsia" w:cstheme="minorBidi"/>
              <w:smallCaps w:val="0"/>
              <w:noProof/>
              <w:sz w:val="22"/>
              <w:szCs w:val="22"/>
              <w:lang w:val="en-NZ" w:eastAsia="en-NZ" w:bidi="ar-SA"/>
            </w:rPr>
          </w:pPr>
          <w:hyperlink w:anchor="_Toc478375848" w:history="1">
            <w:r w:rsidR="005E2BAA" w:rsidRPr="00221E19">
              <w:rPr>
                <w:rStyle w:val="Hyperlink"/>
                <w:noProof/>
              </w:rPr>
              <w:t>2</w:t>
            </w:r>
            <w:r w:rsidR="005E2BAA">
              <w:rPr>
                <w:rFonts w:eastAsiaTheme="minorEastAsia" w:cstheme="minorBidi"/>
                <w:smallCaps w:val="0"/>
                <w:noProof/>
                <w:sz w:val="22"/>
                <w:szCs w:val="22"/>
                <w:lang w:val="en-NZ" w:eastAsia="en-NZ" w:bidi="ar-SA"/>
              </w:rPr>
              <w:tab/>
            </w:r>
            <w:r w:rsidR="005E2BAA" w:rsidRPr="00221E19">
              <w:rPr>
                <w:rStyle w:val="Hyperlink"/>
                <w:noProof/>
              </w:rPr>
              <w:t>Food technology assessment</w:t>
            </w:r>
            <w:r w:rsidR="005E2BAA">
              <w:rPr>
                <w:noProof/>
                <w:webHidden/>
              </w:rPr>
              <w:tab/>
            </w:r>
            <w:r w:rsidR="005E2BAA">
              <w:rPr>
                <w:noProof/>
                <w:webHidden/>
              </w:rPr>
              <w:fldChar w:fldCharType="begin"/>
            </w:r>
            <w:r w:rsidR="005E2BAA">
              <w:rPr>
                <w:noProof/>
                <w:webHidden/>
              </w:rPr>
              <w:instrText xml:space="preserve"> PAGEREF _Toc478375848 \h </w:instrText>
            </w:r>
            <w:r w:rsidR="005E2BAA">
              <w:rPr>
                <w:noProof/>
                <w:webHidden/>
              </w:rPr>
            </w:r>
            <w:r w:rsidR="005E2BAA">
              <w:rPr>
                <w:noProof/>
                <w:webHidden/>
              </w:rPr>
              <w:fldChar w:fldCharType="separate"/>
            </w:r>
            <w:r w:rsidR="005E2BAA">
              <w:rPr>
                <w:noProof/>
                <w:webHidden/>
              </w:rPr>
              <w:t>31</w:t>
            </w:r>
            <w:r w:rsidR="005E2BAA">
              <w:rPr>
                <w:noProof/>
                <w:webHidden/>
              </w:rPr>
              <w:fldChar w:fldCharType="end"/>
            </w:r>
          </w:hyperlink>
        </w:p>
        <w:p w14:paraId="2F350B11"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49" w:history="1">
            <w:r w:rsidR="005E2BAA" w:rsidRPr="00221E19">
              <w:rPr>
                <w:rStyle w:val="Hyperlink"/>
                <w:noProof/>
              </w:rPr>
              <w:t>2.1</w:t>
            </w:r>
            <w:r w:rsidR="005E2BAA">
              <w:rPr>
                <w:rFonts w:eastAsiaTheme="minorEastAsia" w:cstheme="minorBidi"/>
                <w:i w:val="0"/>
                <w:iCs w:val="0"/>
                <w:noProof/>
                <w:sz w:val="22"/>
                <w:szCs w:val="22"/>
                <w:lang w:val="en-NZ" w:eastAsia="en-NZ" w:bidi="ar-SA"/>
              </w:rPr>
              <w:tab/>
            </w:r>
            <w:r w:rsidR="005E2BAA" w:rsidRPr="00221E19">
              <w:rPr>
                <w:rStyle w:val="Hyperlink"/>
                <w:noProof/>
              </w:rPr>
              <w:t>Technological purpose</w:t>
            </w:r>
            <w:r w:rsidR="005E2BAA">
              <w:rPr>
                <w:noProof/>
                <w:webHidden/>
              </w:rPr>
              <w:tab/>
            </w:r>
            <w:r w:rsidR="005E2BAA">
              <w:rPr>
                <w:noProof/>
                <w:webHidden/>
              </w:rPr>
              <w:fldChar w:fldCharType="begin"/>
            </w:r>
            <w:r w:rsidR="005E2BAA">
              <w:rPr>
                <w:noProof/>
                <w:webHidden/>
              </w:rPr>
              <w:instrText xml:space="preserve"> PAGEREF _Toc478375849 \h </w:instrText>
            </w:r>
            <w:r w:rsidR="005E2BAA">
              <w:rPr>
                <w:noProof/>
                <w:webHidden/>
              </w:rPr>
            </w:r>
            <w:r w:rsidR="005E2BAA">
              <w:rPr>
                <w:noProof/>
                <w:webHidden/>
              </w:rPr>
              <w:fldChar w:fldCharType="separate"/>
            </w:r>
            <w:r w:rsidR="005E2BAA">
              <w:rPr>
                <w:noProof/>
                <w:webHidden/>
              </w:rPr>
              <w:t>31</w:t>
            </w:r>
            <w:r w:rsidR="005E2BAA">
              <w:rPr>
                <w:noProof/>
                <w:webHidden/>
              </w:rPr>
              <w:fldChar w:fldCharType="end"/>
            </w:r>
          </w:hyperlink>
        </w:p>
        <w:p w14:paraId="20F65CED"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50" w:history="1">
            <w:r w:rsidR="005E2BAA" w:rsidRPr="00221E19">
              <w:rPr>
                <w:rStyle w:val="Hyperlink"/>
                <w:noProof/>
              </w:rPr>
              <w:t>2.2</w:t>
            </w:r>
            <w:r w:rsidR="005E2BAA">
              <w:rPr>
                <w:rFonts w:eastAsiaTheme="minorEastAsia" w:cstheme="minorBidi"/>
                <w:i w:val="0"/>
                <w:iCs w:val="0"/>
                <w:noProof/>
                <w:sz w:val="22"/>
                <w:szCs w:val="22"/>
                <w:lang w:val="en-NZ" w:eastAsia="en-NZ" w:bidi="ar-SA"/>
              </w:rPr>
              <w:tab/>
            </w:r>
            <w:r w:rsidR="005E2BAA" w:rsidRPr="00221E19">
              <w:rPr>
                <w:rStyle w:val="Hyperlink"/>
                <w:noProof/>
              </w:rPr>
              <w:t>Technological justification</w:t>
            </w:r>
            <w:r w:rsidR="005E2BAA">
              <w:rPr>
                <w:noProof/>
                <w:webHidden/>
              </w:rPr>
              <w:tab/>
            </w:r>
            <w:r w:rsidR="005E2BAA">
              <w:rPr>
                <w:noProof/>
                <w:webHidden/>
              </w:rPr>
              <w:fldChar w:fldCharType="begin"/>
            </w:r>
            <w:r w:rsidR="005E2BAA">
              <w:rPr>
                <w:noProof/>
                <w:webHidden/>
              </w:rPr>
              <w:instrText xml:space="preserve"> PAGEREF _Toc478375850 \h </w:instrText>
            </w:r>
            <w:r w:rsidR="005E2BAA">
              <w:rPr>
                <w:noProof/>
                <w:webHidden/>
              </w:rPr>
            </w:r>
            <w:r w:rsidR="005E2BAA">
              <w:rPr>
                <w:noProof/>
                <w:webHidden/>
              </w:rPr>
              <w:fldChar w:fldCharType="separate"/>
            </w:r>
            <w:r w:rsidR="005E2BAA">
              <w:rPr>
                <w:noProof/>
                <w:webHidden/>
              </w:rPr>
              <w:t>31</w:t>
            </w:r>
            <w:r w:rsidR="005E2BAA">
              <w:rPr>
                <w:noProof/>
                <w:webHidden/>
              </w:rPr>
              <w:fldChar w:fldCharType="end"/>
            </w:r>
          </w:hyperlink>
        </w:p>
        <w:p w14:paraId="2657AA18"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51" w:history="1">
            <w:r w:rsidR="005E2BAA" w:rsidRPr="00221E19">
              <w:rPr>
                <w:rStyle w:val="Hyperlink"/>
                <w:noProof/>
              </w:rPr>
              <w:t>2.3</w:t>
            </w:r>
            <w:r w:rsidR="005E2BAA">
              <w:rPr>
                <w:rFonts w:eastAsiaTheme="minorEastAsia" w:cstheme="minorBidi"/>
                <w:i w:val="0"/>
                <w:iCs w:val="0"/>
                <w:noProof/>
                <w:sz w:val="22"/>
                <w:szCs w:val="22"/>
                <w:lang w:val="en-NZ" w:eastAsia="en-NZ" w:bidi="ar-SA"/>
              </w:rPr>
              <w:tab/>
            </w:r>
            <w:r w:rsidR="005E2BAA" w:rsidRPr="00221E19">
              <w:rPr>
                <w:rStyle w:val="Hyperlink"/>
                <w:noProof/>
              </w:rPr>
              <w:t>Chemical properties</w:t>
            </w:r>
            <w:r w:rsidR="005E2BAA">
              <w:rPr>
                <w:noProof/>
                <w:webHidden/>
              </w:rPr>
              <w:tab/>
            </w:r>
            <w:r w:rsidR="005E2BAA">
              <w:rPr>
                <w:noProof/>
                <w:webHidden/>
              </w:rPr>
              <w:fldChar w:fldCharType="begin"/>
            </w:r>
            <w:r w:rsidR="005E2BAA">
              <w:rPr>
                <w:noProof/>
                <w:webHidden/>
              </w:rPr>
              <w:instrText xml:space="preserve"> PAGEREF _Toc478375851 \h </w:instrText>
            </w:r>
            <w:r w:rsidR="005E2BAA">
              <w:rPr>
                <w:noProof/>
                <w:webHidden/>
              </w:rPr>
            </w:r>
            <w:r w:rsidR="005E2BAA">
              <w:rPr>
                <w:noProof/>
                <w:webHidden/>
              </w:rPr>
              <w:fldChar w:fldCharType="separate"/>
            </w:r>
            <w:r w:rsidR="005E2BAA">
              <w:rPr>
                <w:noProof/>
                <w:webHidden/>
              </w:rPr>
              <w:t>32</w:t>
            </w:r>
            <w:r w:rsidR="005E2BAA">
              <w:rPr>
                <w:noProof/>
                <w:webHidden/>
              </w:rPr>
              <w:fldChar w:fldCharType="end"/>
            </w:r>
          </w:hyperlink>
        </w:p>
        <w:p w14:paraId="0C2524D4"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52" w:history="1">
            <w:r w:rsidR="005E2BAA" w:rsidRPr="00221E19">
              <w:rPr>
                <w:rStyle w:val="Hyperlink"/>
                <w:noProof/>
              </w:rPr>
              <w:t>2.4</w:t>
            </w:r>
            <w:r w:rsidR="005E2BAA">
              <w:rPr>
                <w:rFonts w:eastAsiaTheme="minorEastAsia" w:cstheme="minorBidi"/>
                <w:i w:val="0"/>
                <w:iCs w:val="0"/>
                <w:noProof/>
                <w:sz w:val="22"/>
                <w:szCs w:val="22"/>
                <w:lang w:val="en-NZ" w:eastAsia="en-NZ" w:bidi="ar-SA"/>
              </w:rPr>
              <w:tab/>
            </w:r>
            <w:r w:rsidR="005E2BAA" w:rsidRPr="00221E19">
              <w:rPr>
                <w:rStyle w:val="Hyperlink"/>
                <w:noProof/>
              </w:rPr>
              <w:t>Analytical method for detection</w:t>
            </w:r>
            <w:r w:rsidR="005E2BAA">
              <w:rPr>
                <w:noProof/>
                <w:webHidden/>
              </w:rPr>
              <w:tab/>
            </w:r>
            <w:r w:rsidR="005E2BAA">
              <w:rPr>
                <w:noProof/>
                <w:webHidden/>
              </w:rPr>
              <w:fldChar w:fldCharType="begin"/>
            </w:r>
            <w:r w:rsidR="005E2BAA">
              <w:rPr>
                <w:noProof/>
                <w:webHidden/>
              </w:rPr>
              <w:instrText xml:space="preserve"> PAGEREF _Toc478375852 \h </w:instrText>
            </w:r>
            <w:r w:rsidR="005E2BAA">
              <w:rPr>
                <w:noProof/>
                <w:webHidden/>
              </w:rPr>
            </w:r>
            <w:r w:rsidR="005E2BAA">
              <w:rPr>
                <w:noProof/>
                <w:webHidden/>
              </w:rPr>
              <w:fldChar w:fldCharType="separate"/>
            </w:r>
            <w:r w:rsidR="005E2BAA">
              <w:rPr>
                <w:noProof/>
                <w:webHidden/>
              </w:rPr>
              <w:t>32</w:t>
            </w:r>
            <w:r w:rsidR="005E2BAA">
              <w:rPr>
                <w:noProof/>
                <w:webHidden/>
              </w:rPr>
              <w:fldChar w:fldCharType="end"/>
            </w:r>
          </w:hyperlink>
        </w:p>
        <w:p w14:paraId="08027EC9"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53" w:history="1">
            <w:r w:rsidR="005E2BAA" w:rsidRPr="00221E19">
              <w:rPr>
                <w:rStyle w:val="Hyperlink"/>
                <w:noProof/>
              </w:rPr>
              <w:t>2.5</w:t>
            </w:r>
            <w:r w:rsidR="005E2BAA">
              <w:rPr>
                <w:rFonts w:eastAsiaTheme="minorEastAsia" w:cstheme="minorBidi"/>
                <w:i w:val="0"/>
                <w:iCs w:val="0"/>
                <w:noProof/>
                <w:sz w:val="22"/>
                <w:szCs w:val="22"/>
                <w:lang w:val="en-NZ" w:eastAsia="en-NZ" w:bidi="ar-SA"/>
              </w:rPr>
              <w:tab/>
            </w:r>
            <w:r w:rsidR="005E2BAA" w:rsidRPr="00221E19">
              <w:rPr>
                <w:rStyle w:val="Hyperlink"/>
                <w:noProof/>
              </w:rPr>
              <w:t>Manufacturing process</w:t>
            </w:r>
            <w:r w:rsidR="005E2BAA">
              <w:rPr>
                <w:noProof/>
                <w:webHidden/>
              </w:rPr>
              <w:tab/>
            </w:r>
            <w:r w:rsidR="005E2BAA">
              <w:rPr>
                <w:noProof/>
                <w:webHidden/>
              </w:rPr>
              <w:fldChar w:fldCharType="begin"/>
            </w:r>
            <w:r w:rsidR="005E2BAA">
              <w:rPr>
                <w:noProof/>
                <w:webHidden/>
              </w:rPr>
              <w:instrText xml:space="preserve"> PAGEREF _Toc478375853 \h </w:instrText>
            </w:r>
            <w:r w:rsidR="005E2BAA">
              <w:rPr>
                <w:noProof/>
                <w:webHidden/>
              </w:rPr>
            </w:r>
            <w:r w:rsidR="005E2BAA">
              <w:rPr>
                <w:noProof/>
                <w:webHidden/>
              </w:rPr>
              <w:fldChar w:fldCharType="separate"/>
            </w:r>
            <w:r w:rsidR="005E2BAA">
              <w:rPr>
                <w:noProof/>
                <w:webHidden/>
              </w:rPr>
              <w:t>32</w:t>
            </w:r>
            <w:r w:rsidR="005E2BAA">
              <w:rPr>
                <w:noProof/>
                <w:webHidden/>
              </w:rPr>
              <w:fldChar w:fldCharType="end"/>
            </w:r>
          </w:hyperlink>
        </w:p>
        <w:p w14:paraId="62C6871C"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54" w:history="1">
            <w:r w:rsidR="005E2BAA" w:rsidRPr="00221E19">
              <w:rPr>
                <w:rStyle w:val="Hyperlink"/>
                <w:noProof/>
              </w:rPr>
              <w:t>2.6</w:t>
            </w:r>
            <w:r w:rsidR="005E2BAA">
              <w:rPr>
                <w:rFonts w:eastAsiaTheme="minorEastAsia" w:cstheme="minorBidi"/>
                <w:i w:val="0"/>
                <w:iCs w:val="0"/>
                <w:noProof/>
                <w:sz w:val="22"/>
                <w:szCs w:val="22"/>
                <w:lang w:val="en-NZ" w:eastAsia="en-NZ" w:bidi="ar-SA"/>
              </w:rPr>
              <w:tab/>
            </w:r>
            <w:r w:rsidR="005E2BAA" w:rsidRPr="00221E19">
              <w:rPr>
                <w:rStyle w:val="Hyperlink"/>
                <w:noProof/>
              </w:rPr>
              <w:t>Product specification</w:t>
            </w:r>
            <w:r w:rsidR="005E2BAA">
              <w:rPr>
                <w:noProof/>
                <w:webHidden/>
              </w:rPr>
              <w:tab/>
            </w:r>
            <w:r w:rsidR="005E2BAA">
              <w:rPr>
                <w:noProof/>
                <w:webHidden/>
              </w:rPr>
              <w:fldChar w:fldCharType="begin"/>
            </w:r>
            <w:r w:rsidR="005E2BAA">
              <w:rPr>
                <w:noProof/>
                <w:webHidden/>
              </w:rPr>
              <w:instrText xml:space="preserve"> PAGEREF _Toc478375854 \h </w:instrText>
            </w:r>
            <w:r w:rsidR="005E2BAA">
              <w:rPr>
                <w:noProof/>
                <w:webHidden/>
              </w:rPr>
            </w:r>
            <w:r w:rsidR="005E2BAA">
              <w:rPr>
                <w:noProof/>
                <w:webHidden/>
              </w:rPr>
              <w:fldChar w:fldCharType="separate"/>
            </w:r>
            <w:r w:rsidR="005E2BAA">
              <w:rPr>
                <w:noProof/>
                <w:webHidden/>
              </w:rPr>
              <w:t>32</w:t>
            </w:r>
            <w:r w:rsidR="005E2BAA">
              <w:rPr>
                <w:noProof/>
                <w:webHidden/>
              </w:rPr>
              <w:fldChar w:fldCharType="end"/>
            </w:r>
          </w:hyperlink>
        </w:p>
        <w:p w14:paraId="753A2FCF"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55" w:history="1">
            <w:r w:rsidR="005E2BAA" w:rsidRPr="00221E19">
              <w:rPr>
                <w:rStyle w:val="Hyperlink"/>
                <w:noProof/>
              </w:rPr>
              <w:t>2.7</w:t>
            </w:r>
            <w:r w:rsidR="005E2BAA">
              <w:rPr>
                <w:rFonts w:eastAsiaTheme="minorEastAsia" w:cstheme="minorBidi"/>
                <w:i w:val="0"/>
                <w:iCs w:val="0"/>
                <w:noProof/>
                <w:sz w:val="22"/>
                <w:szCs w:val="22"/>
                <w:lang w:val="en-NZ" w:eastAsia="en-NZ" w:bidi="ar-SA"/>
              </w:rPr>
              <w:tab/>
            </w:r>
            <w:r w:rsidR="005E2BAA" w:rsidRPr="00221E19">
              <w:rPr>
                <w:rStyle w:val="Hyperlink"/>
                <w:noProof/>
              </w:rPr>
              <w:t>Food technology conclusion</w:t>
            </w:r>
            <w:r w:rsidR="005E2BAA">
              <w:rPr>
                <w:noProof/>
                <w:webHidden/>
              </w:rPr>
              <w:tab/>
            </w:r>
            <w:r w:rsidR="005E2BAA">
              <w:rPr>
                <w:noProof/>
                <w:webHidden/>
              </w:rPr>
              <w:fldChar w:fldCharType="begin"/>
            </w:r>
            <w:r w:rsidR="005E2BAA">
              <w:rPr>
                <w:noProof/>
                <w:webHidden/>
              </w:rPr>
              <w:instrText xml:space="preserve"> PAGEREF _Toc478375855 \h </w:instrText>
            </w:r>
            <w:r w:rsidR="005E2BAA">
              <w:rPr>
                <w:noProof/>
                <w:webHidden/>
              </w:rPr>
            </w:r>
            <w:r w:rsidR="005E2BAA">
              <w:rPr>
                <w:noProof/>
                <w:webHidden/>
              </w:rPr>
              <w:fldChar w:fldCharType="separate"/>
            </w:r>
            <w:r w:rsidR="005E2BAA">
              <w:rPr>
                <w:noProof/>
                <w:webHidden/>
              </w:rPr>
              <w:t>32</w:t>
            </w:r>
            <w:r w:rsidR="005E2BAA">
              <w:rPr>
                <w:noProof/>
                <w:webHidden/>
              </w:rPr>
              <w:fldChar w:fldCharType="end"/>
            </w:r>
          </w:hyperlink>
        </w:p>
        <w:p w14:paraId="544914F4" w14:textId="77777777" w:rsidR="005E2BAA" w:rsidRDefault="000E611C">
          <w:pPr>
            <w:pStyle w:val="TOC2"/>
            <w:tabs>
              <w:tab w:val="left" w:pos="660"/>
              <w:tab w:val="right" w:leader="dot" w:pos="9060"/>
            </w:tabs>
            <w:rPr>
              <w:rFonts w:eastAsiaTheme="minorEastAsia" w:cstheme="minorBidi"/>
              <w:smallCaps w:val="0"/>
              <w:noProof/>
              <w:sz w:val="22"/>
              <w:szCs w:val="22"/>
              <w:lang w:val="en-NZ" w:eastAsia="en-NZ" w:bidi="ar-SA"/>
            </w:rPr>
          </w:pPr>
          <w:hyperlink w:anchor="_Toc478375856" w:history="1">
            <w:r w:rsidR="005E2BAA" w:rsidRPr="00221E19">
              <w:rPr>
                <w:rStyle w:val="Hyperlink"/>
                <w:noProof/>
              </w:rPr>
              <w:t>3</w:t>
            </w:r>
            <w:r w:rsidR="005E2BAA">
              <w:rPr>
                <w:rFonts w:eastAsiaTheme="minorEastAsia" w:cstheme="minorBidi"/>
                <w:smallCaps w:val="0"/>
                <w:noProof/>
                <w:sz w:val="22"/>
                <w:szCs w:val="22"/>
                <w:lang w:val="en-NZ" w:eastAsia="en-NZ" w:bidi="ar-SA"/>
              </w:rPr>
              <w:tab/>
            </w:r>
            <w:r w:rsidR="005E2BAA" w:rsidRPr="00221E19">
              <w:rPr>
                <w:rStyle w:val="Hyperlink"/>
                <w:noProof/>
              </w:rPr>
              <w:t>Hazard assessment</w:t>
            </w:r>
            <w:r w:rsidR="005E2BAA">
              <w:rPr>
                <w:noProof/>
                <w:webHidden/>
              </w:rPr>
              <w:tab/>
            </w:r>
            <w:r w:rsidR="005E2BAA">
              <w:rPr>
                <w:noProof/>
                <w:webHidden/>
              </w:rPr>
              <w:fldChar w:fldCharType="begin"/>
            </w:r>
            <w:r w:rsidR="005E2BAA">
              <w:rPr>
                <w:noProof/>
                <w:webHidden/>
              </w:rPr>
              <w:instrText xml:space="preserve"> PAGEREF _Toc478375856 \h </w:instrText>
            </w:r>
            <w:r w:rsidR="005E2BAA">
              <w:rPr>
                <w:noProof/>
                <w:webHidden/>
              </w:rPr>
            </w:r>
            <w:r w:rsidR="005E2BAA">
              <w:rPr>
                <w:noProof/>
                <w:webHidden/>
              </w:rPr>
              <w:fldChar w:fldCharType="separate"/>
            </w:r>
            <w:r w:rsidR="005E2BAA">
              <w:rPr>
                <w:noProof/>
                <w:webHidden/>
              </w:rPr>
              <w:t>33</w:t>
            </w:r>
            <w:r w:rsidR="005E2BAA">
              <w:rPr>
                <w:noProof/>
                <w:webHidden/>
              </w:rPr>
              <w:fldChar w:fldCharType="end"/>
            </w:r>
          </w:hyperlink>
        </w:p>
        <w:p w14:paraId="12B5BF1E"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57" w:history="1">
            <w:r w:rsidR="005E2BAA" w:rsidRPr="00221E19">
              <w:rPr>
                <w:rStyle w:val="Hyperlink"/>
                <w:noProof/>
              </w:rPr>
              <w:t>3.1</w:t>
            </w:r>
            <w:r w:rsidR="005E2BAA">
              <w:rPr>
                <w:rFonts w:eastAsiaTheme="minorEastAsia" w:cstheme="minorBidi"/>
                <w:i w:val="0"/>
                <w:iCs w:val="0"/>
                <w:noProof/>
                <w:sz w:val="22"/>
                <w:szCs w:val="22"/>
                <w:lang w:val="en-NZ" w:eastAsia="en-NZ" w:bidi="ar-SA"/>
              </w:rPr>
              <w:tab/>
            </w:r>
            <w:r w:rsidR="005E2BAA" w:rsidRPr="00221E19">
              <w:rPr>
                <w:rStyle w:val="Hyperlink"/>
                <w:noProof/>
              </w:rPr>
              <w:t>Toxicokinetics</w:t>
            </w:r>
            <w:r w:rsidR="005E2BAA">
              <w:rPr>
                <w:noProof/>
                <w:webHidden/>
              </w:rPr>
              <w:tab/>
            </w:r>
            <w:r w:rsidR="005E2BAA">
              <w:rPr>
                <w:noProof/>
                <w:webHidden/>
              </w:rPr>
              <w:fldChar w:fldCharType="begin"/>
            </w:r>
            <w:r w:rsidR="005E2BAA">
              <w:rPr>
                <w:noProof/>
                <w:webHidden/>
              </w:rPr>
              <w:instrText xml:space="preserve"> PAGEREF _Toc478375857 \h </w:instrText>
            </w:r>
            <w:r w:rsidR="005E2BAA">
              <w:rPr>
                <w:noProof/>
                <w:webHidden/>
              </w:rPr>
            </w:r>
            <w:r w:rsidR="005E2BAA">
              <w:rPr>
                <w:noProof/>
                <w:webHidden/>
              </w:rPr>
              <w:fldChar w:fldCharType="separate"/>
            </w:r>
            <w:r w:rsidR="005E2BAA">
              <w:rPr>
                <w:noProof/>
                <w:webHidden/>
              </w:rPr>
              <w:t>33</w:t>
            </w:r>
            <w:r w:rsidR="005E2BAA">
              <w:rPr>
                <w:noProof/>
                <w:webHidden/>
              </w:rPr>
              <w:fldChar w:fldCharType="end"/>
            </w:r>
          </w:hyperlink>
        </w:p>
        <w:p w14:paraId="617199A5"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58" w:history="1">
            <w:r w:rsidR="005E2BAA" w:rsidRPr="00221E19">
              <w:rPr>
                <w:rStyle w:val="Hyperlink"/>
                <w:noProof/>
              </w:rPr>
              <w:t>3.2</w:t>
            </w:r>
            <w:r w:rsidR="005E2BAA">
              <w:rPr>
                <w:rFonts w:eastAsiaTheme="minorEastAsia" w:cstheme="minorBidi"/>
                <w:i w:val="0"/>
                <w:iCs w:val="0"/>
                <w:noProof/>
                <w:sz w:val="22"/>
                <w:szCs w:val="22"/>
                <w:lang w:val="en-NZ" w:eastAsia="en-NZ" w:bidi="ar-SA"/>
              </w:rPr>
              <w:tab/>
            </w:r>
            <w:r w:rsidR="005E2BAA" w:rsidRPr="00221E19">
              <w:rPr>
                <w:rStyle w:val="Hyperlink"/>
                <w:noProof/>
              </w:rPr>
              <w:t>Genotoxicity studies</w:t>
            </w:r>
            <w:r w:rsidR="005E2BAA">
              <w:rPr>
                <w:noProof/>
                <w:webHidden/>
              </w:rPr>
              <w:tab/>
            </w:r>
            <w:r w:rsidR="005E2BAA">
              <w:rPr>
                <w:noProof/>
                <w:webHidden/>
              </w:rPr>
              <w:fldChar w:fldCharType="begin"/>
            </w:r>
            <w:r w:rsidR="005E2BAA">
              <w:rPr>
                <w:noProof/>
                <w:webHidden/>
              </w:rPr>
              <w:instrText xml:space="preserve"> PAGEREF _Toc478375858 \h </w:instrText>
            </w:r>
            <w:r w:rsidR="005E2BAA">
              <w:rPr>
                <w:noProof/>
                <w:webHidden/>
              </w:rPr>
            </w:r>
            <w:r w:rsidR="005E2BAA">
              <w:rPr>
                <w:noProof/>
                <w:webHidden/>
              </w:rPr>
              <w:fldChar w:fldCharType="separate"/>
            </w:r>
            <w:r w:rsidR="005E2BAA">
              <w:rPr>
                <w:noProof/>
                <w:webHidden/>
              </w:rPr>
              <w:t>35</w:t>
            </w:r>
            <w:r w:rsidR="005E2BAA">
              <w:rPr>
                <w:noProof/>
                <w:webHidden/>
              </w:rPr>
              <w:fldChar w:fldCharType="end"/>
            </w:r>
          </w:hyperlink>
        </w:p>
        <w:p w14:paraId="5E202E2C"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59" w:history="1">
            <w:r w:rsidR="005E2BAA" w:rsidRPr="00221E19">
              <w:rPr>
                <w:rStyle w:val="Hyperlink"/>
                <w:noProof/>
              </w:rPr>
              <w:t>3.3</w:t>
            </w:r>
            <w:r w:rsidR="005E2BAA">
              <w:rPr>
                <w:rFonts w:eastAsiaTheme="minorEastAsia" w:cstheme="minorBidi"/>
                <w:i w:val="0"/>
                <w:iCs w:val="0"/>
                <w:noProof/>
                <w:sz w:val="22"/>
                <w:szCs w:val="22"/>
                <w:lang w:val="en-NZ" w:eastAsia="en-NZ" w:bidi="ar-SA"/>
              </w:rPr>
              <w:tab/>
            </w:r>
            <w:r w:rsidR="005E2BAA" w:rsidRPr="00221E19">
              <w:rPr>
                <w:rStyle w:val="Hyperlink"/>
                <w:noProof/>
              </w:rPr>
              <w:t>Animal studies</w:t>
            </w:r>
            <w:r w:rsidR="005E2BAA">
              <w:rPr>
                <w:noProof/>
                <w:webHidden/>
              </w:rPr>
              <w:tab/>
            </w:r>
            <w:r w:rsidR="005E2BAA">
              <w:rPr>
                <w:noProof/>
                <w:webHidden/>
              </w:rPr>
              <w:fldChar w:fldCharType="begin"/>
            </w:r>
            <w:r w:rsidR="005E2BAA">
              <w:rPr>
                <w:noProof/>
                <w:webHidden/>
              </w:rPr>
              <w:instrText xml:space="preserve"> PAGEREF _Toc478375859 \h </w:instrText>
            </w:r>
            <w:r w:rsidR="005E2BAA">
              <w:rPr>
                <w:noProof/>
                <w:webHidden/>
              </w:rPr>
            </w:r>
            <w:r w:rsidR="005E2BAA">
              <w:rPr>
                <w:noProof/>
                <w:webHidden/>
              </w:rPr>
              <w:fldChar w:fldCharType="separate"/>
            </w:r>
            <w:r w:rsidR="005E2BAA">
              <w:rPr>
                <w:noProof/>
                <w:webHidden/>
              </w:rPr>
              <w:t>36</w:t>
            </w:r>
            <w:r w:rsidR="005E2BAA">
              <w:rPr>
                <w:noProof/>
                <w:webHidden/>
              </w:rPr>
              <w:fldChar w:fldCharType="end"/>
            </w:r>
          </w:hyperlink>
        </w:p>
        <w:p w14:paraId="13984905"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60" w:history="1">
            <w:r w:rsidR="005E2BAA" w:rsidRPr="00221E19">
              <w:rPr>
                <w:rStyle w:val="Hyperlink"/>
                <w:noProof/>
              </w:rPr>
              <w:t>3.4</w:t>
            </w:r>
            <w:r w:rsidR="005E2BAA">
              <w:rPr>
                <w:rFonts w:eastAsiaTheme="minorEastAsia" w:cstheme="minorBidi"/>
                <w:i w:val="0"/>
                <w:iCs w:val="0"/>
                <w:noProof/>
                <w:sz w:val="22"/>
                <w:szCs w:val="22"/>
                <w:lang w:val="en-NZ" w:eastAsia="en-NZ" w:bidi="ar-SA"/>
              </w:rPr>
              <w:tab/>
            </w:r>
            <w:r w:rsidR="005E2BAA" w:rsidRPr="00221E19">
              <w:rPr>
                <w:rStyle w:val="Hyperlink"/>
                <w:noProof/>
              </w:rPr>
              <w:t>Human studies</w:t>
            </w:r>
            <w:r w:rsidR="005E2BAA">
              <w:rPr>
                <w:noProof/>
                <w:webHidden/>
              </w:rPr>
              <w:tab/>
            </w:r>
            <w:r w:rsidR="005E2BAA">
              <w:rPr>
                <w:noProof/>
                <w:webHidden/>
              </w:rPr>
              <w:fldChar w:fldCharType="begin"/>
            </w:r>
            <w:r w:rsidR="005E2BAA">
              <w:rPr>
                <w:noProof/>
                <w:webHidden/>
              </w:rPr>
              <w:instrText xml:space="preserve"> PAGEREF _Toc478375860 \h </w:instrText>
            </w:r>
            <w:r w:rsidR="005E2BAA">
              <w:rPr>
                <w:noProof/>
                <w:webHidden/>
              </w:rPr>
            </w:r>
            <w:r w:rsidR="005E2BAA">
              <w:rPr>
                <w:noProof/>
                <w:webHidden/>
              </w:rPr>
              <w:fldChar w:fldCharType="separate"/>
            </w:r>
            <w:r w:rsidR="005E2BAA">
              <w:rPr>
                <w:noProof/>
                <w:webHidden/>
              </w:rPr>
              <w:t>41</w:t>
            </w:r>
            <w:r w:rsidR="005E2BAA">
              <w:rPr>
                <w:noProof/>
                <w:webHidden/>
              </w:rPr>
              <w:fldChar w:fldCharType="end"/>
            </w:r>
          </w:hyperlink>
        </w:p>
        <w:p w14:paraId="54360208"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61" w:history="1">
            <w:r w:rsidR="005E2BAA" w:rsidRPr="00221E19">
              <w:rPr>
                <w:rStyle w:val="Hyperlink"/>
                <w:noProof/>
              </w:rPr>
              <w:t>3.5</w:t>
            </w:r>
            <w:r w:rsidR="005E2BAA">
              <w:rPr>
                <w:rFonts w:eastAsiaTheme="minorEastAsia" w:cstheme="minorBidi"/>
                <w:i w:val="0"/>
                <w:iCs w:val="0"/>
                <w:noProof/>
                <w:sz w:val="22"/>
                <w:szCs w:val="22"/>
                <w:lang w:val="en-NZ" w:eastAsia="en-NZ" w:bidi="ar-SA"/>
              </w:rPr>
              <w:tab/>
            </w:r>
            <w:r w:rsidR="005E2BAA" w:rsidRPr="00221E19">
              <w:rPr>
                <w:rStyle w:val="Hyperlink"/>
                <w:noProof/>
              </w:rPr>
              <w:t>Assessments by other regulatory agencies</w:t>
            </w:r>
            <w:r w:rsidR="005E2BAA">
              <w:rPr>
                <w:noProof/>
                <w:webHidden/>
              </w:rPr>
              <w:tab/>
            </w:r>
            <w:r w:rsidR="005E2BAA">
              <w:rPr>
                <w:noProof/>
                <w:webHidden/>
              </w:rPr>
              <w:fldChar w:fldCharType="begin"/>
            </w:r>
            <w:r w:rsidR="005E2BAA">
              <w:rPr>
                <w:noProof/>
                <w:webHidden/>
              </w:rPr>
              <w:instrText xml:space="preserve"> PAGEREF _Toc478375861 \h </w:instrText>
            </w:r>
            <w:r w:rsidR="005E2BAA">
              <w:rPr>
                <w:noProof/>
                <w:webHidden/>
              </w:rPr>
            </w:r>
            <w:r w:rsidR="005E2BAA">
              <w:rPr>
                <w:noProof/>
                <w:webHidden/>
              </w:rPr>
              <w:fldChar w:fldCharType="separate"/>
            </w:r>
            <w:r w:rsidR="005E2BAA">
              <w:rPr>
                <w:noProof/>
                <w:webHidden/>
              </w:rPr>
              <w:t>41</w:t>
            </w:r>
            <w:r w:rsidR="005E2BAA">
              <w:rPr>
                <w:noProof/>
                <w:webHidden/>
              </w:rPr>
              <w:fldChar w:fldCharType="end"/>
            </w:r>
          </w:hyperlink>
        </w:p>
        <w:p w14:paraId="36F8D61B" w14:textId="77777777" w:rsidR="005E2BAA" w:rsidRDefault="000E611C">
          <w:pPr>
            <w:pStyle w:val="TOC3"/>
            <w:tabs>
              <w:tab w:val="left" w:pos="1100"/>
              <w:tab w:val="right" w:leader="dot" w:pos="9060"/>
            </w:tabs>
            <w:rPr>
              <w:rFonts w:eastAsiaTheme="minorEastAsia" w:cstheme="minorBidi"/>
              <w:i w:val="0"/>
              <w:iCs w:val="0"/>
              <w:noProof/>
              <w:sz w:val="22"/>
              <w:szCs w:val="22"/>
              <w:lang w:val="en-NZ" w:eastAsia="en-NZ" w:bidi="ar-SA"/>
            </w:rPr>
          </w:pPr>
          <w:hyperlink w:anchor="_Toc478375862" w:history="1">
            <w:r w:rsidR="005E2BAA" w:rsidRPr="00221E19">
              <w:rPr>
                <w:rStyle w:val="Hyperlink"/>
                <w:noProof/>
              </w:rPr>
              <w:t>3.6</w:t>
            </w:r>
            <w:r w:rsidR="005E2BAA">
              <w:rPr>
                <w:rFonts w:eastAsiaTheme="minorEastAsia" w:cstheme="minorBidi"/>
                <w:i w:val="0"/>
                <w:iCs w:val="0"/>
                <w:noProof/>
                <w:sz w:val="22"/>
                <w:szCs w:val="22"/>
                <w:lang w:val="en-NZ" w:eastAsia="en-NZ" w:bidi="ar-SA"/>
              </w:rPr>
              <w:tab/>
            </w:r>
            <w:r w:rsidR="005E2BAA" w:rsidRPr="00221E19">
              <w:rPr>
                <w:rStyle w:val="Hyperlink"/>
                <w:noProof/>
              </w:rPr>
              <w:t>Hazard assessment conclusion</w:t>
            </w:r>
            <w:r w:rsidR="005E2BAA">
              <w:rPr>
                <w:noProof/>
                <w:webHidden/>
              </w:rPr>
              <w:tab/>
            </w:r>
            <w:r w:rsidR="005E2BAA">
              <w:rPr>
                <w:noProof/>
                <w:webHidden/>
              </w:rPr>
              <w:fldChar w:fldCharType="begin"/>
            </w:r>
            <w:r w:rsidR="005E2BAA">
              <w:rPr>
                <w:noProof/>
                <w:webHidden/>
              </w:rPr>
              <w:instrText xml:space="preserve"> PAGEREF _Toc478375862 \h </w:instrText>
            </w:r>
            <w:r w:rsidR="005E2BAA">
              <w:rPr>
                <w:noProof/>
                <w:webHidden/>
              </w:rPr>
            </w:r>
            <w:r w:rsidR="005E2BAA">
              <w:rPr>
                <w:noProof/>
                <w:webHidden/>
              </w:rPr>
              <w:fldChar w:fldCharType="separate"/>
            </w:r>
            <w:r w:rsidR="005E2BAA">
              <w:rPr>
                <w:noProof/>
                <w:webHidden/>
              </w:rPr>
              <w:t>41</w:t>
            </w:r>
            <w:r w:rsidR="005E2BAA">
              <w:rPr>
                <w:noProof/>
                <w:webHidden/>
              </w:rPr>
              <w:fldChar w:fldCharType="end"/>
            </w:r>
          </w:hyperlink>
        </w:p>
        <w:p w14:paraId="033AA48D" w14:textId="77777777" w:rsidR="005E2BAA" w:rsidRDefault="000E611C">
          <w:pPr>
            <w:pStyle w:val="TOC2"/>
            <w:tabs>
              <w:tab w:val="left" w:pos="660"/>
              <w:tab w:val="right" w:leader="dot" w:pos="9060"/>
            </w:tabs>
            <w:rPr>
              <w:rFonts w:eastAsiaTheme="minorEastAsia" w:cstheme="minorBidi"/>
              <w:smallCaps w:val="0"/>
              <w:noProof/>
              <w:sz w:val="22"/>
              <w:szCs w:val="22"/>
              <w:lang w:val="en-NZ" w:eastAsia="en-NZ" w:bidi="ar-SA"/>
            </w:rPr>
          </w:pPr>
          <w:hyperlink w:anchor="_Toc478375863" w:history="1">
            <w:r w:rsidR="005E2BAA" w:rsidRPr="00221E19">
              <w:rPr>
                <w:rStyle w:val="Hyperlink"/>
                <w:noProof/>
              </w:rPr>
              <w:t>4</w:t>
            </w:r>
            <w:r w:rsidR="005E2BAA">
              <w:rPr>
                <w:rFonts w:eastAsiaTheme="minorEastAsia" w:cstheme="minorBidi"/>
                <w:smallCaps w:val="0"/>
                <w:noProof/>
                <w:sz w:val="22"/>
                <w:szCs w:val="22"/>
                <w:lang w:val="en-NZ" w:eastAsia="en-NZ" w:bidi="ar-SA"/>
              </w:rPr>
              <w:tab/>
            </w:r>
            <w:r w:rsidR="005E2BAA" w:rsidRPr="00221E19">
              <w:rPr>
                <w:rStyle w:val="Hyperlink"/>
                <w:noProof/>
              </w:rPr>
              <w:t>Dietary exposure assessment</w:t>
            </w:r>
            <w:r w:rsidR="005E2BAA">
              <w:rPr>
                <w:noProof/>
                <w:webHidden/>
              </w:rPr>
              <w:tab/>
            </w:r>
            <w:r w:rsidR="005E2BAA">
              <w:rPr>
                <w:noProof/>
                <w:webHidden/>
              </w:rPr>
              <w:fldChar w:fldCharType="begin"/>
            </w:r>
            <w:r w:rsidR="005E2BAA">
              <w:rPr>
                <w:noProof/>
                <w:webHidden/>
              </w:rPr>
              <w:instrText xml:space="preserve"> PAGEREF _Toc478375863 \h </w:instrText>
            </w:r>
            <w:r w:rsidR="005E2BAA">
              <w:rPr>
                <w:noProof/>
                <w:webHidden/>
              </w:rPr>
            </w:r>
            <w:r w:rsidR="005E2BAA">
              <w:rPr>
                <w:noProof/>
                <w:webHidden/>
              </w:rPr>
              <w:fldChar w:fldCharType="separate"/>
            </w:r>
            <w:r w:rsidR="005E2BAA">
              <w:rPr>
                <w:noProof/>
                <w:webHidden/>
              </w:rPr>
              <w:t>42</w:t>
            </w:r>
            <w:r w:rsidR="005E2BAA">
              <w:rPr>
                <w:noProof/>
                <w:webHidden/>
              </w:rPr>
              <w:fldChar w:fldCharType="end"/>
            </w:r>
          </w:hyperlink>
        </w:p>
        <w:p w14:paraId="7BC7676C" w14:textId="77777777" w:rsidR="005E2BAA" w:rsidRDefault="000E611C">
          <w:pPr>
            <w:pStyle w:val="TOC2"/>
            <w:tabs>
              <w:tab w:val="left" w:pos="660"/>
              <w:tab w:val="right" w:leader="dot" w:pos="9060"/>
            </w:tabs>
            <w:rPr>
              <w:rFonts w:eastAsiaTheme="minorEastAsia" w:cstheme="minorBidi"/>
              <w:smallCaps w:val="0"/>
              <w:noProof/>
              <w:sz w:val="22"/>
              <w:szCs w:val="22"/>
              <w:lang w:val="en-NZ" w:eastAsia="en-NZ" w:bidi="ar-SA"/>
            </w:rPr>
          </w:pPr>
          <w:hyperlink w:anchor="_Toc478375864" w:history="1">
            <w:r w:rsidR="005E2BAA" w:rsidRPr="00221E19">
              <w:rPr>
                <w:rStyle w:val="Hyperlink"/>
                <w:noProof/>
              </w:rPr>
              <w:t>5</w:t>
            </w:r>
            <w:r w:rsidR="005E2BAA">
              <w:rPr>
                <w:rFonts w:eastAsiaTheme="minorEastAsia" w:cstheme="minorBidi"/>
                <w:smallCaps w:val="0"/>
                <w:noProof/>
                <w:sz w:val="22"/>
                <w:szCs w:val="22"/>
                <w:lang w:val="en-NZ" w:eastAsia="en-NZ" w:bidi="ar-SA"/>
              </w:rPr>
              <w:tab/>
            </w:r>
            <w:r w:rsidR="005E2BAA" w:rsidRPr="00221E19">
              <w:rPr>
                <w:rStyle w:val="Hyperlink"/>
                <w:noProof/>
              </w:rPr>
              <w:t>Risk assessment conclusion</w:t>
            </w:r>
            <w:r w:rsidR="005E2BAA">
              <w:rPr>
                <w:noProof/>
                <w:webHidden/>
              </w:rPr>
              <w:tab/>
            </w:r>
            <w:r w:rsidR="005E2BAA">
              <w:rPr>
                <w:noProof/>
                <w:webHidden/>
              </w:rPr>
              <w:fldChar w:fldCharType="begin"/>
            </w:r>
            <w:r w:rsidR="005E2BAA">
              <w:rPr>
                <w:noProof/>
                <w:webHidden/>
              </w:rPr>
              <w:instrText xml:space="preserve"> PAGEREF _Toc478375864 \h </w:instrText>
            </w:r>
            <w:r w:rsidR="005E2BAA">
              <w:rPr>
                <w:noProof/>
                <w:webHidden/>
              </w:rPr>
            </w:r>
            <w:r w:rsidR="005E2BAA">
              <w:rPr>
                <w:noProof/>
                <w:webHidden/>
              </w:rPr>
              <w:fldChar w:fldCharType="separate"/>
            </w:r>
            <w:r w:rsidR="005E2BAA">
              <w:rPr>
                <w:noProof/>
                <w:webHidden/>
              </w:rPr>
              <w:t>42</w:t>
            </w:r>
            <w:r w:rsidR="005E2BAA">
              <w:rPr>
                <w:noProof/>
                <w:webHidden/>
              </w:rPr>
              <w:fldChar w:fldCharType="end"/>
            </w:r>
          </w:hyperlink>
        </w:p>
        <w:p w14:paraId="2BD78EE7" w14:textId="77777777" w:rsidR="005E2BAA" w:rsidRDefault="000E611C">
          <w:pPr>
            <w:pStyle w:val="TOC1"/>
            <w:tabs>
              <w:tab w:val="right" w:leader="dot" w:pos="9060"/>
            </w:tabs>
            <w:rPr>
              <w:rFonts w:eastAsiaTheme="minorEastAsia" w:cstheme="minorBidi"/>
              <w:b w:val="0"/>
              <w:bCs w:val="0"/>
              <w:caps w:val="0"/>
              <w:noProof/>
              <w:sz w:val="22"/>
              <w:szCs w:val="22"/>
              <w:lang w:val="en-NZ" w:eastAsia="en-NZ" w:bidi="ar-SA"/>
            </w:rPr>
          </w:pPr>
          <w:hyperlink w:anchor="_Toc478375865" w:history="1">
            <w:r w:rsidR="005E2BAA" w:rsidRPr="00221E19">
              <w:rPr>
                <w:rStyle w:val="Hyperlink"/>
                <w:noProof/>
              </w:rPr>
              <w:t>References</w:t>
            </w:r>
            <w:r w:rsidR="005E2BAA">
              <w:rPr>
                <w:noProof/>
                <w:webHidden/>
              </w:rPr>
              <w:tab/>
            </w:r>
            <w:r w:rsidR="005E2BAA">
              <w:rPr>
                <w:noProof/>
                <w:webHidden/>
              </w:rPr>
              <w:fldChar w:fldCharType="begin"/>
            </w:r>
            <w:r w:rsidR="005E2BAA">
              <w:rPr>
                <w:noProof/>
                <w:webHidden/>
              </w:rPr>
              <w:instrText xml:space="preserve"> PAGEREF _Toc478375865 \h </w:instrText>
            </w:r>
            <w:r w:rsidR="005E2BAA">
              <w:rPr>
                <w:noProof/>
                <w:webHidden/>
              </w:rPr>
            </w:r>
            <w:r w:rsidR="005E2BAA">
              <w:rPr>
                <w:noProof/>
                <w:webHidden/>
              </w:rPr>
              <w:fldChar w:fldCharType="separate"/>
            </w:r>
            <w:r w:rsidR="005E2BAA">
              <w:rPr>
                <w:noProof/>
                <w:webHidden/>
              </w:rPr>
              <w:t>43</w:t>
            </w:r>
            <w:r w:rsidR="005E2BAA">
              <w:rPr>
                <w:noProof/>
                <w:webHidden/>
              </w:rPr>
              <w:fldChar w:fldCharType="end"/>
            </w:r>
          </w:hyperlink>
        </w:p>
        <w:p w14:paraId="0791F748" w14:textId="77777777" w:rsidR="00E359D6" w:rsidRPr="008C0160" w:rsidRDefault="00034724" w:rsidP="00E17FDA">
          <w:pPr>
            <w:pStyle w:val="TOC1"/>
            <w:tabs>
              <w:tab w:val="right" w:leader="dot" w:pos="9060"/>
            </w:tabs>
            <w:rPr>
              <w:noProof/>
            </w:rPr>
          </w:pPr>
          <w:r w:rsidRPr="008C0160">
            <w:rPr>
              <w:b w:val="0"/>
              <w:bCs w:val="0"/>
              <w:noProof/>
            </w:rPr>
            <w:fldChar w:fldCharType="end"/>
          </w:r>
        </w:p>
      </w:sdtContent>
    </w:sdt>
    <w:p w14:paraId="05C843F3" w14:textId="77777777" w:rsidR="00E359D6" w:rsidRPr="008C0160" w:rsidRDefault="00E359D6" w:rsidP="00E359D6">
      <w:pPr>
        <w:rPr>
          <w:rFonts w:asciiTheme="minorHAnsi" w:hAnsiTheme="minorHAnsi"/>
          <w:noProof/>
          <w:sz w:val="20"/>
          <w:szCs w:val="20"/>
        </w:rPr>
      </w:pPr>
      <w:r w:rsidRPr="008C0160">
        <w:rPr>
          <w:noProof/>
        </w:rPr>
        <w:br w:type="page"/>
      </w:r>
    </w:p>
    <w:p w14:paraId="6EE37CFE" w14:textId="77777777" w:rsidR="004D17F0" w:rsidRPr="008C0160" w:rsidRDefault="004D17F0" w:rsidP="00A33A38">
      <w:pPr>
        <w:pStyle w:val="Heading1"/>
        <w:spacing w:before="0"/>
      </w:pPr>
      <w:bookmarkStart w:id="4" w:name="_Toc472668664"/>
      <w:bookmarkStart w:id="5" w:name="_Toc476908556"/>
      <w:bookmarkStart w:id="6" w:name="_Toc478375777"/>
      <w:r w:rsidRPr="008C0160">
        <w:lastRenderedPageBreak/>
        <w:t xml:space="preserve">Part A: </w:t>
      </w:r>
      <w:bookmarkEnd w:id="4"/>
      <w:r w:rsidR="00A563F3" w:rsidRPr="008C0160">
        <w:t>Chitin-glucan</w:t>
      </w:r>
      <w:bookmarkEnd w:id="5"/>
      <w:bookmarkEnd w:id="6"/>
    </w:p>
    <w:p w14:paraId="283F1390" w14:textId="77777777" w:rsidR="00034724" w:rsidRPr="008C0160" w:rsidRDefault="009B7EF8" w:rsidP="009B7EF8">
      <w:pPr>
        <w:pStyle w:val="Heading2"/>
      </w:pPr>
      <w:bookmarkStart w:id="7" w:name="_Toc476908557"/>
      <w:bookmarkStart w:id="8" w:name="_Toc478375778"/>
      <w:r w:rsidRPr="008C0160">
        <w:rPr>
          <w:sz w:val="24"/>
        </w:rPr>
        <w:t>1</w:t>
      </w:r>
      <w:r w:rsidRPr="008C0160">
        <w:rPr>
          <w:sz w:val="24"/>
        </w:rPr>
        <w:tab/>
      </w:r>
      <w:bookmarkStart w:id="9" w:name="_Toc472668665"/>
      <w:r w:rsidR="00034724" w:rsidRPr="008C0160">
        <w:t>Introduction</w:t>
      </w:r>
      <w:bookmarkEnd w:id="7"/>
      <w:bookmarkEnd w:id="8"/>
      <w:bookmarkEnd w:id="9"/>
    </w:p>
    <w:p w14:paraId="16DE3563" w14:textId="77777777" w:rsidR="005E19D7" w:rsidRPr="008C0160" w:rsidRDefault="009B7EF8" w:rsidP="009B7EF8">
      <w:pPr>
        <w:pStyle w:val="Heading3"/>
      </w:pPr>
      <w:bookmarkStart w:id="10" w:name="_Toc472668666"/>
      <w:bookmarkStart w:id="11" w:name="_Toc476908558"/>
      <w:bookmarkStart w:id="12" w:name="_Toc478375779"/>
      <w:r w:rsidRPr="008C0160">
        <w:t>1.1</w:t>
      </w:r>
      <w:r w:rsidRPr="008C0160">
        <w:tab/>
      </w:r>
      <w:r w:rsidR="004D67B1" w:rsidRPr="008C0160">
        <w:t>D</w:t>
      </w:r>
      <w:r w:rsidR="005E19D7" w:rsidRPr="008C0160">
        <w:t>escription</w:t>
      </w:r>
      <w:bookmarkEnd w:id="10"/>
      <w:bookmarkEnd w:id="11"/>
      <w:bookmarkEnd w:id="12"/>
    </w:p>
    <w:p w14:paraId="65B2C1AC" w14:textId="77777777" w:rsidR="005E19D7" w:rsidRPr="0017617B" w:rsidRDefault="005E19D7" w:rsidP="005E19D7">
      <w:pPr>
        <w:widowControl/>
        <w:tabs>
          <w:tab w:val="left" w:pos="993"/>
        </w:tabs>
        <w:rPr>
          <w:rFonts w:eastAsia="Calibri"/>
          <w:szCs w:val="22"/>
          <w:lang w:bidi="ar-SA"/>
        </w:rPr>
      </w:pPr>
      <w:r w:rsidRPr="0017617B">
        <w:rPr>
          <w:rFonts w:eastAsia="Calibri"/>
          <w:szCs w:val="22"/>
          <w:lang w:bidi="ar-SA"/>
        </w:rPr>
        <w:t xml:space="preserve">Chitin-glucan is a fining agent of musts to reduce colloid content and cloudiness. It is also used </w:t>
      </w:r>
      <w:r w:rsidR="00955C5E" w:rsidRPr="0017617B">
        <w:rPr>
          <w:rFonts w:eastAsia="Calibri"/>
          <w:szCs w:val="22"/>
          <w:lang w:bidi="ar-SA"/>
        </w:rPr>
        <w:t>to stabilise</w:t>
      </w:r>
      <w:r w:rsidRPr="0017617B">
        <w:rPr>
          <w:rFonts w:eastAsia="Calibri"/>
          <w:szCs w:val="22"/>
          <w:lang w:bidi="ar-SA"/>
        </w:rPr>
        <w:t xml:space="preserve"> iron content in wines </w:t>
      </w:r>
      <w:r w:rsidR="00955C5E" w:rsidRPr="0017617B">
        <w:rPr>
          <w:rFonts w:eastAsia="Calibri"/>
          <w:szCs w:val="22"/>
          <w:lang w:bidi="ar-SA"/>
        </w:rPr>
        <w:t xml:space="preserve">before </w:t>
      </w:r>
      <w:r w:rsidRPr="0017617B">
        <w:rPr>
          <w:rFonts w:eastAsia="Calibri"/>
          <w:szCs w:val="22"/>
          <w:lang w:bidi="ar-SA"/>
        </w:rPr>
        <w:t>bottling; preventing undesirable red colours in white wines. It also helps eliminate undesirable compounds such as metals and mycotoxins.</w:t>
      </w:r>
    </w:p>
    <w:p w14:paraId="15BCD1DB" w14:textId="77777777" w:rsidR="005E19D7" w:rsidRPr="0017617B" w:rsidRDefault="005E19D7" w:rsidP="005E19D7">
      <w:pPr>
        <w:widowControl/>
        <w:tabs>
          <w:tab w:val="left" w:pos="993"/>
        </w:tabs>
        <w:rPr>
          <w:rFonts w:eastAsia="Calibri"/>
          <w:szCs w:val="22"/>
          <w:lang w:bidi="ar-SA"/>
        </w:rPr>
      </w:pPr>
    </w:p>
    <w:p w14:paraId="07CB8765" w14:textId="77777777" w:rsidR="005E19D7" w:rsidRPr="0017617B" w:rsidRDefault="005E19D7" w:rsidP="005E19D7">
      <w:pPr>
        <w:widowControl/>
        <w:tabs>
          <w:tab w:val="left" w:pos="993"/>
        </w:tabs>
        <w:rPr>
          <w:rFonts w:eastAsia="Calibri"/>
          <w:szCs w:val="22"/>
          <w:lang w:bidi="ar-SA"/>
        </w:rPr>
      </w:pPr>
      <w:r w:rsidRPr="0017617B">
        <w:rPr>
          <w:rFonts w:eastAsia="Calibri"/>
          <w:szCs w:val="22"/>
          <w:lang w:bidi="ar-SA"/>
        </w:rPr>
        <w:t>Characteristics of Chitin-glucan:</w:t>
      </w:r>
    </w:p>
    <w:p w14:paraId="2615D016" w14:textId="77777777" w:rsidR="00FE354D" w:rsidRPr="0017617B" w:rsidRDefault="00FE354D" w:rsidP="005E19D7">
      <w:pPr>
        <w:widowControl/>
        <w:tabs>
          <w:tab w:val="left" w:pos="993"/>
        </w:tabs>
        <w:rPr>
          <w:rFonts w:eastAsia="Calibri"/>
          <w:szCs w:val="22"/>
          <w:lang w:bidi="ar-SA"/>
        </w:rPr>
      </w:pPr>
    </w:p>
    <w:p w14:paraId="2DDC9DC8" w14:textId="77777777" w:rsidR="005E19D7" w:rsidRPr="0017617B" w:rsidRDefault="005E19D7" w:rsidP="0017617B">
      <w:pPr>
        <w:pStyle w:val="FSBullet1"/>
        <w:rPr>
          <w:rFonts w:eastAsia="Calibri"/>
        </w:rPr>
      </w:pPr>
      <w:r w:rsidRPr="0017617B">
        <w:rPr>
          <w:rFonts w:eastAsia="Calibri"/>
        </w:rPr>
        <w:t xml:space="preserve">extracted and purified from the mycelium of non-genetically modified </w:t>
      </w:r>
      <w:r w:rsidR="009E51C1" w:rsidRPr="0017617B">
        <w:rPr>
          <w:rFonts w:eastAsia="Calibri"/>
          <w:i/>
          <w:iCs/>
        </w:rPr>
        <w:t>Aspergillus</w:t>
      </w:r>
      <w:r w:rsidRPr="0017617B">
        <w:rPr>
          <w:rFonts w:eastAsia="Calibri"/>
          <w:i/>
          <w:iCs/>
        </w:rPr>
        <w:t xml:space="preserve"> niger</w:t>
      </w:r>
      <w:r w:rsidRPr="0017617B">
        <w:rPr>
          <w:rFonts w:eastAsia="Calibri"/>
        </w:rPr>
        <w:t>.</w:t>
      </w:r>
    </w:p>
    <w:p w14:paraId="039DC792" w14:textId="77777777" w:rsidR="005E19D7" w:rsidRPr="0017617B" w:rsidRDefault="005E19D7" w:rsidP="0017617B">
      <w:pPr>
        <w:pStyle w:val="FSBullet1"/>
        <w:rPr>
          <w:rFonts w:eastAsia="Calibri"/>
        </w:rPr>
      </w:pPr>
      <w:r w:rsidRPr="0017617B">
        <w:rPr>
          <w:rFonts w:eastAsia="Calibri"/>
        </w:rPr>
        <w:t>a natural, two polymer structure, covalently connected to form a three-dimensional network</w:t>
      </w:r>
    </w:p>
    <w:p w14:paraId="56FDCB35" w14:textId="77777777" w:rsidR="005E19D7" w:rsidRPr="0017617B" w:rsidRDefault="005E19D7" w:rsidP="0017617B">
      <w:pPr>
        <w:pStyle w:val="FSBullet1"/>
        <w:rPr>
          <w:rFonts w:eastAsia="Calibri"/>
        </w:rPr>
      </w:pPr>
      <w:r w:rsidRPr="0017617B">
        <w:rPr>
          <w:rFonts w:eastAsia="Calibri"/>
        </w:rPr>
        <w:t>comprised of the polysaccharides chitin (repeat units N-acetyl-D-glucosamine) and 1,3-ß-glucan (repeat unit D-glucose)</w:t>
      </w:r>
    </w:p>
    <w:p w14:paraId="61699FAC" w14:textId="77777777" w:rsidR="005E19D7" w:rsidRPr="0017617B" w:rsidRDefault="005E19D7" w:rsidP="0017617B">
      <w:pPr>
        <w:pStyle w:val="FSBullet1"/>
        <w:rPr>
          <w:rFonts w:eastAsia="Calibri"/>
        </w:rPr>
      </w:pPr>
      <w:r w:rsidRPr="0017617B">
        <w:rPr>
          <w:rFonts w:eastAsia="Calibri"/>
        </w:rPr>
        <w:t>the chitin/glucan ratio ranges from 25:75 to 60:40.</w:t>
      </w:r>
    </w:p>
    <w:p w14:paraId="2C1F6725" w14:textId="77777777" w:rsidR="005E19D7" w:rsidRPr="0017617B" w:rsidRDefault="005E19D7" w:rsidP="0017617B">
      <w:pPr>
        <w:pStyle w:val="FSBullet1"/>
        <w:rPr>
          <w:rFonts w:eastAsia="Calibri"/>
        </w:rPr>
      </w:pPr>
      <w:r w:rsidRPr="0017617B">
        <w:rPr>
          <w:rFonts w:eastAsia="Calibri"/>
        </w:rPr>
        <w:t>insoluble in wine</w:t>
      </w:r>
    </w:p>
    <w:p w14:paraId="4BC4D23A" w14:textId="77777777" w:rsidR="005E19D7" w:rsidRPr="0017617B" w:rsidRDefault="005E19D7" w:rsidP="0017617B">
      <w:pPr>
        <w:pStyle w:val="FSBullet1"/>
        <w:rPr>
          <w:rFonts w:eastAsia="Calibri"/>
        </w:rPr>
      </w:pPr>
      <w:r w:rsidRPr="0017617B">
        <w:rPr>
          <w:rFonts w:eastAsia="Calibri"/>
        </w:rPr>
        <w:t>the precipitates it forms with unwanted components in wine must are removed via filtration, racking, centrifugation or similar physical separation process.</w:t>
      </w:r>
    </w:p>
    <w:p w14:paraId="58C1E877" w14:textId="77777777" w:rsidR="005E19D7" w:rsidRPr="008C0160" w:rsidRDefault="009B7EF8" w:rsidP="009B7EF8">
      <w:pPr>
        <w:pStyle w:val="Heading3"/>
      </w:pPr>
      <w:bookmarkStart w:id="13" w:name="_Toc472668667"/>
      <w:bookmarkStart w:id="14" w:name="_Toc476908559"/>
      <w:bookmarkStart w:id="15" w:name="_Toc478375780"/>
      <w:r w:rsidRPr="008C0160">
        <w:t>1.2</w:t>
      </w:r>
      <w:r w:rsidRPr="008C0160">
        <w:tab/>
      </w:r>
      <w:r w:rsidR="005E19D7" w:rsidRPr="008C0160">
        <w:t>Current permissions</w:t>
      </w:r>
      <w:bookmarkEnd w:id="13"/>
      <w:bookmarkEnd w:id="14"/>
      <w:bookmarkEnd w:id="15"/>
    </w:p>
    <w:p w14:paraId="21FFFE91" w14:textId="77777777" w:rsidR="00BA33FA" w:rsidRPr="008C0160" w:rsidRDefault="009B7EF8" w:rsidP="0017617B">
      <w:pPr>
        <w:pStyle w:val="Heading4"/>
      </w:pPr>
      <w:bookmarkStart w:id="16" w:name="_Toc472668668"/>
      <w:r w:rsidRPr="008C0160">
        <w:t>1.2.1</w:t>
      </w:r>
      <w:r w:rsidRPr="008C0160">
        <w:tab/>
      </w:r>
      <w:r w:rsidR="00BA33FA" w:rsidRPr="008C0160">
        <w:t xml:space="preserve">International Organisation of Vine and Wine (OIV) </w:t>
      </w:r>
    </w:p>
    <w:p w14:paraId="74D5B247" w14:textId="77777777" w:rsidR="00BA33FA" w:rsidRPr="008C0160" w:rsidRDefault="00BA33FA" w:rsidP="00BA33FA">
      <w:pPr>
        <w:rPr>
          <w:lang w:eastAsia="en-AU" w:bidi="ar-SA"/>
        </w:rPr>
      </w:pPr>
      <w:r w:rsidRPr="008C0160">
        <w:rPr>
          <w:lang w:eastAsia="en-AU" w:bidi="ar-SA"/>
        </w:rPr>
        <w:t>Resolutions:</w:t>
      </w:r>
    </w:p>
    <w:p w14:paraId="45253113" w14:textId="77777777" w:rsidR="00FE354D" w:rsidRPr="008C0160" w:rsidRDefault="00FE354D" w:rsidP="00BA33FA">
      <w:pPr>
        <w:rPr>
          <w:lang w:eastAsia="en-AU" w:bidi="ar-SA"/>
        </w:rPr>
      </w:pPr>
    </w:p>
    <w:p w14:paraId="3ED8734E" w14:textId="77777777" w:rsidR="00BA33FA" w:rsidRPr="0017617B" w:rsidRDefault="00BA33FA" w:rsidP="0017617B">
      <w:pPr>
        <w:pStyle w:val="FSBullet1"/>
        <w:rPr>
          <w:rFonts w:eastAsia="Calibri"/>
        </w:rPr>
      </w:pPr>
      <w:r w:rsidRPr="0017617B">
        <w:rPr>
          <w:rFonts w:eastAsia="Calibri"/>
        </w:rPr>
        <w:t>OIV/OENO 336B/2009 (Musts – fining using chitin-glucan)</w:t>
      </w:r>
    </w:p>
    <w:p w14:paraId="10CC432B" w14:textId="77777777" w:rsidR="00BA33FA" w:rsidRPr="0017617B" w:rsidRDefault="00BA33FA" w:rsidP="0017617B">
      <w:pPr>
        <w:pStyle w:val="FSBullet1"/>
        <w:rPr>
          <w:rFonts w:eastAsia="Calibri"/>
        </w:rPr>
      </w:pPr>
      <w:r w:rsidRPr="0017617B">
        <w:rPr>
          <w:rFonts w:eastAsia="Calibri"/>
        </w:rPr>
        <w:t>OIV/OENO 337B/2009 (Wines – fining using chitin-glucan)</w:t>
      </w:r>
    </w:p>
    <w:p w14:paraId="07397535" w14:textId="77777777" w:rsidR="00BA33FA" w:rsidRPr="0017617B" w:rsidRDefault="00BA33FA" w:rsidP="0017617B">
      <w:pPr>
        <w:pStyle w:val="FSBullet1"/>
        <w:rPr>
          <w:rFonts w:eastAsia="Calibri"/>
        </w:rPr>
      </w:pPr>
      <w:r w:rsidRPr="0017617B">
        <w:rPr>
          <w:rFonts w:eastAsia="Calibri"/>
        </w:rPr>
        <w:t>OIV/OENO 338B/2009 (Wines – treatment using chitin-glucan)</w:t>
      </w:r>
    </w:p>
    <w:p w14:paraId="425228A7" w14:textId="77777777" w:rsidR="00BA33FA" w:rsidRPr="0017617B" w:rsidRDefault="00BA33FA" w:rsidP="0017617B">
      <w:pPr>
        <w:pStyle w:val="FSBullet1"/>
        <w:rPr>
          <w:rFonts w:eastAsia="Calibri"/>
        </w:rPr>
      </w:pPr>
      <w:r w:rsidRPr="0017617B">
        <w:rPr>
          <w:rFonts w:eastAsia="Calibri"/>
        </w:rPr>
        <w:t>OIV/OENO 339B/2009 (Wines – fining: complex modification of the existing sheet – chitin-glucan)</w:t>
      </w:r>
    </w:p>
    <w:p w14:paraId="64EE638F" w14:textId="77777777" w:rsidR="00BA33FA" w:rsidRPr="008C0160" w:rsidRDefault="00BA33FA" w:rsidP="00BA33FA">
      <w:pPr>
        <w:rPr>
          <w:lang w:eastAsia="en-AU" w:bidi="ar-SA"/>
        </w:rPr>
      </w:pPr>
    </w:p>
    <w:p w14:paraId="286E5D70" w14:textId="77777777" w:rsidR="00BA33FA" w:rsidRPr="008C0160" w:rsidRDefault="00BA33FA" w:rsidP="006D5C90">
      <w:pPr>
        <w:tabs>
          <w:tab w:val="left" w:pos="0"/>
        </w:tabs>
        <w:rPr>
          <w:lang w:eastAsia="en-AU" w:bidi="ar-SA"/>
        </w:rPr>
      </w:pPr>
      <w:r w:rsidRPr="008C0160">
        <w:rPr>
          <w:lang w:eastAsia="en-AU" w:bidi="ar-SA"/>
        </w:rPr>
        <w:t>International Oenological Codex</w:t>
      </w:r>
    </w:p>
    <w:p w14:paraId="2D034829" w14:textId="77777777" w:rsidR="00BA33FA" w:rsidRPr="0017617B" w:rsidRDefault="00BA33FA" w:rsidP="002F725B">
      <w:pPr>
        <w:pStyle w:val="ListParagraph"/>
        <w:numPr>
          <w:ilvl w:val="0"/>
          <w:numId w:val="82"/>
        </w:numPr>
        <w:ind w:left="720" w:hanging="720"/>
        <w:rPr>
          <w:rFonts w:eastAsia="Calibri"/>
          <w:szCs w:val="22"/>
          <w:lang w:bidi="ar-SA"/>
        </w:rPr>
      </w:pPr>
      <w:r w:rsidRPr="0017617B">
        <w:rPr>
          <w:rFonts w:eastAsia="Calibri"/>
          <w:szCs w:val="22"/>
          <w:lang w:bidi="ar-SA"/>
        </w:rPr>
        <w:t>COEI-1-CHITCL:2009, OENO 367/2009 (Chitin-glucan)</w:t>
      </w:r>
    </w:p>
    <w:p w14:paraId="71F428C1" w14:textId="77777777" w:rsidR="005E19D7" w:rsidRPr="008C0160" w:rsidRDefault="009B7EF8" w:rsidP="0017617B">
      <w:pPr>
        <w:pStyle w:val="Heading4"/>
      </w:pPr>
      <w:r w:rsidRPr="008C0160">
        <w:t>1.2.2</w:t>
      </w:r>
      <w:r w:rsidRPr="008C0160">
        <w:tab/>
      </w:r>
      <w:r w:rsidR="005E19D7" w:rsidRPr="008C0160">
        <w:t>European Union</w:t>
      </w:r>
      <w:bookmarkEnd w:id="16"/>
    </w:p>
    <w:p w14:paraId="3ECC687A" w14:textId="77777777" w:rsidR="005E19D7" w:rsidRPr="0017617B" w:rsidRDefault="005E19D7" w:rsidP="0017617B">
      <w:pPr>
        <w:pStyle w:val="Heading5"/>
        <w:rPr>
          <w:rFonts w:eastAsia="Calibri"/>
        </w:rPr>
      </w:pPr>
      <w:r w:rsidRPr="0017617B">
        <w:rPr>
          <w:rFonts w:eastAsia="Calibri"/>
        </w:rPr>
        <w:t>Purpose</w:t>
      </w:r>
    </w:p>
    <w:p w14:paraId="42D0ED9B" w14:textId="77777777" w:rsidR="005E19D7" w:rsidRPr="0017617B" w:rsidRDefault="005E19D7" w:rsidP="00F65F2C">
      <w:pPr>
        <w:pStyle w:val="ListParagraph"/>
        <w:widowControl/>
        <w:numPr>
          <w:ilvl w:val="0"/>
          <w:numId w:val="20"/>
        </w:numPr>
        <w:tabs>
          <w:tab w:val="left" w:pos="993"/>
        </w:tabs>
        <w:ind w:hanging="720"/>
        <w:rPr>
          <w:rFonts w:eastAsia="Calibri"/>
          <w:szCs w:val="22"/>
          <w:lang w:bidi="ar-SA"/>
        </w:rPr>
      </w:pPr>
      <w:r w:rsidRPr="0017617B">
        <w:rPr>
          <w:rFonts w:eastAsia="Calibri"/>
          <w:szCs w:val="22"/>
          <w:lang w:bidi="ar-SA"/>
        </w:rPr>
        <w:t>reduction in the heavy metal content, particularly iron, lead, cadmium and copper</w:t>
      </w:r>
    </w:p>
    <w:p w14:paraId="6438329E" w14:textId="77777777" w:rsidR="005E19D7" w:rsidRPr="0017617B" w:rsidRDefault="005E19D7" w:rsidP="00F65F2C">
      <w:pPr>
        <w:pStyle w:val="ListParagraph"/>
        <w:widowControl/>
        <w:numPr>
          <w:ilvl w:val="0"/>
          <w:numId w:val="20"/>
        </w:numPr>
        <w:tabs>
          <w:tab w:val="left" w:pos="993"/>
          <w:tab w:val="left" w:pos="1350"/>
        </w:tabs>
        <w:ind w:hanging="720"/>
        <w:rPr>
          <w:rFonts w:eastAsia="Calibri"/>
          <w:szCs w:val="22"/>
          <w:lang w:bidi="ar-SA"/>
        </w:rPr>
      </w:pPr>
      <w:r w:rsidRPr="0017617B">
        <w:rPr>
          <w:rFonts w:eastAsia="Calibri"/>
          <w:szCs w:val="22"/>
          <w:lang w:bidi="ar-SA"/>
        </w:rPr>
        <w:t>prevention of ferric casse</w:t>
      </w:r>
      <w:r w:rsidR="005C63B4" w:rsidRPr="0017617B">
        <w:rPr>
          <w:rStyle w:val="FootnoteReference"/>
          <w:rFonts w:eastAsia="Calibri"/>
          <w:szCs w:val="22"/>
          <w:lang w:bidi="ar-SA"/>
        </w:rPr>
        <w:footnoteReference w:id="2"/>
      </w:r>
      <w:r w:rsidRPr="0017617B">
        <w:rPr>
          <w:rFonts w:eastAsia="Calibri"/>
          <w:szCs w:val="22"/>
          <w:lang w:bidi="ar-SA"/>
        </w:rPr>
        <w:t xml:space="preserve"> and copper casse </w:t>
      </w:r>
    </w:p>
    <w:p w14:paraId="1DA0AC26" w14:textId="77777777" w:rsidR="005E19D7" w:rsidRPr="0017617B" w:rsidRDefault="005E19D7" w:rsidP="00F65F2C">
      <w:pPr>
        <w:pStyle w:val="ListParagraph"/>
        <w:widowControl/>
        <w:numPr>
          <w:ilvl w:val="0"/>
          <w:numId w:val="20"/>
        </w:numPr>
        <w:tabs>
          <w:tab w:val="left" w:pos="993"/>
          <w:tab w:val="left" w:pos="1350"/>
        </w:tabs>
        <w:ind w:hanging="720"/>
        <w:rPr>
          <w:rFonts w:eastAsia="Calibri"/>
          <w:szCs w:val="22"/>
          <w:lang w:bidi="ar-SA"/>
        </w:rPr>
      </w:pPr>
      <w:r w:rsidRPr="0017617B">
        <w:rPr>
          <w:rFonts w:eastAsia="Calibri"/>
          <w:szCs w:val="22"/>
          <w:lang w:bidi="ar-SA"/>
        </w:rPr>
        <w:t xml:space="preserve">reduction of possible contaminants, especially </w:t>
      </w:r>
      <w:r w:rsidR="002B5B00">
        <w:rPr>
          <w:rFonts w:eastAsia="Calibri"/>
          <w:szCs w:val="22"/>
          <w:lang w:bidi="ar-SA"/>
        </w:rPr>
        <w:t>o</w:t>
      </w:r>
      <w:r w:rsidR="000179A0" w:rsidRPr="0017617B">
        <w:rPr>
          <w:rFonts w:eastAsia="Calibri"/>
          <w:szCs w:val="22"/>
          <w:lang w:bidi="ar-SA"/>
        </w:rPr>
        <w:t>chratoxin</w:t>
      </w:r>
      <w:r w:rsidRPr="0017617B">
        <w:rPr>
          <w:rFonts w:eastAsia="Calibri"/>
          <w:szCs w:val="22"/>
          <w:lang w:bidi="ar-SA"/>
        </w:rPr>
        <w:t xml:space="preserve"> A </w:t>
      </w:r>
    </w:p>
    <w:p w14:paraId="37F8DEA9" w14:textId="77777777" w:rsidR="005E19D7" w:rsidRPr="0017617B" w:rsidRDefault="005E19D7" w:rsidP="0017617B">
      <w:pPr>
        <w:pStyle w:val="ListParagraph"/>
        <w:widowControl/>
        <w:numPr>
          <w:ilvl w:val="0"/>
          <w:numId w:val="20"/>
        </w:numPr>
        <w:tabs>
          <w:tab w:val="left" w:pos="720"/>
          <w:tab w:val="left" w:pos="990"/>
          <w:tab w:val="left" w:pos="1350"/>
        </w:tabs>
        <w:ind w:hanging="720"/>
        <w:rPr>
          <w:rFonts w:eastAsia="Calibri"/>
          <w:szCs w:val="22"/>
          <w:lang w:bidi="ar-SA"/>
        </w:rPr>
      </w:pPr>
      <w:r w:rsidRPr="0017617B">
        <w:rPr>
          <w:rFonts w:eastAsia="Calibri"/>
          <w:szCs w:val="22"/>
          <w:lang w:bidi="ar-SA"/>
        </w:rPr>
        <w:t xml:space="preserve">reduction in the populations of undesirable micro-organisms, in particular Brettanomyces; solely by means of treatment with chitosan. </w:t>
      </w:r>
    </w:p>
    <w:p w14:paraId="6182BD5A" w14:textId="77777777" w:rsidR="005E19D7" w:rsidRPr="0017617B" w:rsidRDefault="005E19D7" w:rsidP="005E19D7">
      <w:pPr>
        <w:widowControl/>
        <w:tabs>
          <w:tab w:val="left" w:pos="993"/>
        </w:tabs>
        <w:ind w:left="2007"/>
        <w:contextualSpacing/>
        <w:rPr>
          <w:rFonts w:eastAsia="Calibri"/>
          <w:szCs w:val="22"/>
          <w:lang w:bidi="ar-SA"/>
        </w:rPr>
      </w:pPr>
    </w:p>
    <w:p w14:paraId="6FA71C3B" w14:textId="77777777" w:rsidR="00696285" w:rsidRPr="0017617B" w:rsidRDefault="005E19D7" w:rsidP="0017617B">
      <w:pPr>
        <w:pStyle w:val="Heading5"/>
        <w:rPr>
          <w:rFonts w:eastAsia="Calibri"/>
        </w:rPr>
      </w:pPr>
      <w:r w:rsidRPr="0017617B">
        <w:rPr>
          <w:rFonts w:eastAsia="Calibri"/>
        </w:rPr>
        <w:lastRenderedPageBreak/>
        <w:t xml:space="preserve">Requirements: </w:t>
      </w:r>
    </w:p>
    <w:p w14:paraId="78F2EAE8" w14:textId="77777777" w:rsidR="005E19D7" w:rsidRPr="0017617B" w:rsidRDefault="005E19D7" w:rsidP="00F65F2C">
      <w:pPr>
        <w:widowControl/>
        <w:tabs>
          <w:tab w:val="left" w:pos="993"/>
        </w:tabs>
        <w:contextualSpacing/>
        <w:rPr>
          <w:rFonts w:eastAsia="Calibri"/>
          <w:szCs w:val="22"/>
          <w:lang w:bidi="ar-SA"/>
        </w:rPr>
      </w:pPr>
      <w:r w:rsidRPr="0017617B">
        <w:rPr>
          <w:rFonts w:eastAsia="Calibri"/>
          <w:szCs w:val="22"/>
          <w:lang w:bidi="ar-SA"/>
        </w:rPr>
        <w:t xml:space="preserve">The </w:t>
      </w:r>
      <w:r w:rsidR="003449F7">
        <w:rPr>
          <w:rFonts w:eastAsia="Calibri"/>
          <w:szCs w:val="22"/>
          <w:lang w:bidi="ar-SA"/>
        </w:rPr>
        <w:t xml:space="preserve">concentrations </w:t>
      </w:r>
      <w:r w:rsidRPr="0017617B">
        <w:rPr>
          <w:rFonts w:eastAsia="Calibri"/>
          <w:szCs w:val="22"/>
          <w:lang w:bidi="ar-SA"/>
        </w:rPr>
        <w:t xml:space="preserve">to be used are determined after a qualification test. The maximum </w:t>
      </w:r>
      <w:r w:rsidR="003449F7">
        <w:rPr>
          <w:rFonts w:eastAsia="Calibri"/>
          <w:szCs w:val="22"/>
          <w:lang w:bidi="ar-SA"/>
        </w:rPr>
        <w:t>concentration</w:t>
      </w:r>
      <w:r w:rsidRPr="0017617B">
        <w:rPr>
          <w:rFonts w:eastAsia="Calibri"/>
          <w:szCs w:val="22"/>
          <w:lang w:bidi="ar-SA"/>
        </w:rPr>
        <w:t xml:space="preserve"> (</w:t>
      </w:r>
      <w:r w:rsidR="003449F7">
        <w:rPr>
          <w:rFonts w:eastAsia="Calibri"/>
          <w:szCs w:val="22"/>
          <w:lang w:bidi="ar-SA"/>
        </w:rPr>
        <w:t>in grams per hectolitre – g/</w:t>
      </w:r>
      <w:r w:rsidRPr="0017617B">
        <w:rPr>
          <w:rFonts w:eastAsia="Calibri"/>
          <w:szCs w:val="22"/>
          <w:lang w:bidi="ar-SA"/>
        </w:rPr>
        <w:t>h</w:t>
      </w:r>
      <w:r w:rsidR="00FB05C7">
        <w:rPr>
          <w:rFonts w:eastAsia="Calibri"/>
          <w:szCs w:val="22"/>
          <w:lang w:bidi="ar-SA"/>
        </w:rPr>
        <w:t>L</w:t>
      </w:r>
      <w:r w:rsidRPr="0017617B">
        <w:rPr>
          <w:rFonts w:eastAsia="Calibri"/>
          <w:szCs w:val="22"/>
          <w:lang w:bidi="ar-SA"/>
        </w:rPr>
        <w:t xml:space="preserve">) related to each purpose used may not exceed: </w:t>
      </w:r>
    </w:p>
    <w:p w14:paraId="1A2AC0A4" w14:textId="77777777" w:rsidR="00FE354D" w:rsidRPr="0017617B" w:rsidRDefault="00FE354D" w:rsidP="00F65F2C">
      <w:pPr>
        <w:widowControl/>
        <w:tabs>
          <w:tab w:val="left" w:pos="993"/>
        </w:tabs>
        <w:contextualSpacing/>
        <w:rPr>
          <w:rFonts w:eastAsia="Calibri"/>
          <w:szCs w:val="22"/>
          <w:lang w:bidi="ar-SA"/>
        </w:rPr>
      </w:pPr>
    </w:p>
    <w:p w14:paraId="752D1EE1" w14:textId="77777777" w:rsidR="005E19D7" w:rsidRPr="0017617B" w:rsidRDefault="005E19D7" w:rsidP="0017617B">
      <w:pPr>
        <w:pStyle w:val="FSBullet1"/>
        <w:rPr>
          <w:rFonts w:eastAsia="Calibri"/>
        </w:rPr>
      </w:pPr>
      <w:r w:rsidRPr="0017617B">
        <w:rPr>
          <w:rFonts w:eastAsia="Calibri"/>
        </w:rPr>
        <w:t>100 g/h</w:t>
      </w:r>
      <w:r w:rsidR="00FB05C7">
        <w:rPr>
          <w:rFonts w:eastAsia="Calibri"/>
        </w:rPr>
        <w:t>L</w:t>
      </w:r>
      <w:r w:rsidRPr="0017617B">
        <w:rPr>
          <w:rFonts w:eastAsia="Calibri"/>
        </w:rPr>
        <w:t xml:space="preserve"> for applications (a) and (b)</w:t>
      </w:r>
    </w:p>
    <w:p w14:paraId="5F068CA1" w14:textId="77777777" w:rsidR="005E19D7" w:rsidRPr="0017617B" w:rsidRDefault="005E19D7" w:rsidP="0017617B">
      <w:pPr>
        <w:pStyle w:val="FSBullet1"/>
        <w:rPr>
          <w:rFonts w:eastAsia="Calibri"/>
        </w:rPr>
      </w:pPr>
      <w:r w:rsidRPr="0017617B">
        <w:rPr>
          <w:rFonts w:eastAsia="Calibri"/>
        </w:rPr>
        <w:t>500 g/h</w:t>
      </w:r>
      <w:r w:rsidR="00FB05C7">
        <w:rPr>
          <w:rFonts w:eastAsia="Calibri"/>
        </w:rPr>
        <w:t>L</w:t>
      </w:r>
      <w:r w:rsidRPr="0017617B">
        <w:rPr>
          <w:rFonts w:eastAsia="Calibri"/>
        </w:rPr>
        <w:t xml:space="preserve"> for application (c)</w:t>
      </w:r>
    </w:p>
    <w:p w14:paraId="194DF619" w14:textId="77777777" w:rsidR="005E19D7" w:rsidRPr="0017617B" w:rsidRDefault="005E19D7" w:rsidP="0017617B">
      <w:pPr>
        <w:pStyle w:val="FSBullet1"/>
        <w:rPr>
          <w:rFonts w:eastAsia="Calibri"/>
        </w:rPr>
      </w:pPr>
      <w:r w:rsidRPr="0017617B">
        <w:rPr>
          <w:rFonts w:eastAsia="Calibri"/>
        </w:rPr>
        <w:t>10 g/h</w:t>
      </w:r>
      <w:r w:rsidR="00FB05C7">
        <w:rPr>
          <w:rFonts w:eastAsia="Calibri"/>
        </w:rPr>
        <w:t>L</w:t>
      </w:r>
      <w:r w:rsidRPr="0017617B">
        <w:rPr>
          <w:rFonts w:eastAsia="Calibri"/>
        </w:rPr>
        <w:t xml:space="preserve"> for application (d)</w:t>
      </w:r>
    </w:p>
    <w:p w14:paraId="5EE6EF5A" w14:textId="77777777" w:rsidR="005E19D7" w:rsidRPr="0017617B" w:rsidRDefault="005E19D7" w:rsidP="0017617B">
      <w:pPr>
        <w:pStyle w:val="FSBullet1"/>
        <w:rPr>
          <w:rFonts w:eastAsia="Calibri"/>
        </w:rPr>
      </w:pPr>
      <w:r w:rsidRPr="0017617B">
        <w:rPr>
          <w:rFonts w:eastAsia="Calibri"/>
        </w:rPr>
        <w:t>sediments are removed using physical processes.</w:t>
      </w:r>
    </w:p>
    <w:p w14:paraId="5C793A77" w14:textId="77777777" w:rsidR="005E19D7" w:rsidRPr="008C0160" w:rsidRDefault="009B7EF8" w:rsidP="0017617B">
      <w:pPr>
        <w:pStyle w:val="Heading4"/>
      </w:pPr>
      <w:bookmarkStart w:id="17" w:name="_Toc472668669"/>
      <w:bookmarkEnd w:id="17"/>
      <w:r w:rsidRPr="008C0160">
        <w:t>1.2.3</w:t>
      </w:r>
      <w:r w:rsidRPr="008C0160">
        <w:tab/>
      </w:r>
      <w:r w:rsidR="0039476C" w:rsidRPr="008C0160">
        <w:t>United States</w:t>
      </w:r>
      <w:r w:rsidRPr="008C0160">
        <w:t xml:space="preserve"> of America</w:t>
      </w:r>
    </w:p>
    <w:tbl>
      <w:tblPr>
        <w:tblStyle w:val="TableGrid1"/>
        <w:tblW w:w="0" w:type="auto"/>
        <w:tblInd w:w="927" w:type="dxa"/>
        <w:tblLook w:val="04A0" w:firstRow="1" w:lastRow="0" w:firstColumn="1" w:lastColumn="0" w:noHBand="0" w:noVBand="1"/>
        <w:tblCaption w:val="Permission for chitin-glucan in the USA"/>
      </w:tblPr>
      <w:tblGrid>
        <w:gridCol w:w="2091"/>
        <w:gridCol w:w="3660"/>
        <w:gridCol w:w="2340"/>
      </w:tblGrid>
      <w:tr w:rsidR="00900AC1" w:rsidRPr="008C0160" w14:paraId="069377F1" w14:textId="77777777" w:rsidTr="001519EF">
        <w:trPr>
          <w:trHeight w:val="381"/>
          <w:tblHeader/>
        </w:trPr>
        <w:tc>
          <w:tcPr>
            <w:tcW w:w="2091" w:type="dxa"/>
            <w:vAlign w:val="center"/>
          </w:tcPr>
          <w:p w14:paraId="31C4E137" w14:textId="77777777" w:rsidR="00900AC1" w:rsidRPr="0017617B" w:rsidRDefault="00900AC1" w:rsidP="00481D38">
            <w:pPr>
              <w:widowControl/>
              <w:tabs>
                <w:tab w:val="left" w:pos="993"/>
              </w:tabs>
              <w:contextualSpacing/>
              <w:jc w:val="center"/>
              <w:rPr>
                <w:b/>
                <w:sz w:val="20"/>
                <w:szCs w:val="22"/>
                <w:lang w:val="en-GB" w:bidi="ar-SA"/>
              </w:rPr>
            </w:pPr>
            <w:r w:rsidRPr="0017617B">
              <w:rPr>
                <w:b/>
                <w:sz w:val="20"/>
                <w:szCs w:val="22"/>
                <w:lang w:val="en-GB" w:bidi="ar-SA"/>
              </w:rPr>
              <w:t>Product</w:t>
            </w:r>
          </w:p>
        </w:tc>
        <w:tc>
          <w:tcPr>
            <w:tcW w:w="3660" w:type="dxa"/>
            <w:vAlign w:val="center"/>
          </w:tcPr>
          <w:p w14:paraId="6900C9BA" w14:textId="77777777" w:rsidR="00900AC1" w:rsidRPr="0017617B" w:rsidRDefault="00900AC1" w:rsidP="00481D38">
            <w:pPr>
              <w:widowControl/>
              <w:tabs>
                <w:tab w:val="left" w:pos="993"/>
              </w:tabs>
              <w:contextualSpacing/>
              <w:rPr>
                <w:b/>
                <w:sz w:val="20"/>
                <w:szCs w:val="22"/>
                <w:lang w:val="en-GB" w:bidi="ar-SA"/>
              </w:rPr>
            </w:pPr>
            <w:r w:rsidRPr="0017617B">
              <w:rPr>
                <w:b/>
                <w:sz w:val="20"/>
                <w:szCs w:val="22"/>
                <w:lang w:val="en-GB" w:bidi="ar-SA"/>
              </w:rPr>
              <w:t>Technological use</w:t>
            </w:r>
          </w:p>
        </w:tc>
        <w:tc>
          <w:tcPr>
            <w:tcW w:w="2340" w:type="dxa"/>
            <w:vAlign w:val="center"/>
          </w:tcPr>
          <w:p w14:paraId="5E47E119" w14:textId="77777777" w:rsidR="00900AC1" w:rsidRPr="0017617B" w:rsidRDefault="00900AC1" w:rsidP="00481D38">
            <w:pPr>
              <w:widowControl/>
              <w:tabs>
                <w:tab w:val="left" w:pos="993"/>
              </w:tabs>
              <w:contextualSpacing/>
              <w:rPr>
                <w:b/>
                <w:sz w:val="20"/>
                <w:szCs w:val="22"/>
                <w:lang w:val="en-GB" w:bidi="ar-SA"/>
              </w:rPr>
            </w:pPr>
            <w:r w:rsidRPr="0017617B">
              <w:rPr>
                <w:b/>
                <w:sz w:val="20"/>
                <w:szCs w:val="22"/>
                <w:lang w:val="en-GB" w:bidi="ar-SA"/>
              </w:rPr>
              <w:t>Permitted amount</w:t>
            </w:r>
          </w:p>
        </w:tc>
      </w:tr>
      <w:tr w:rsidR="005E19D7" w:rsidRPr="008C0160" w14:paraId="5AED59E4" w14:textId="77777777" w:rsidTr="00900AC1">
        <w:trPr>
          <w:trHeight w:val="381"/>
        </w:trPr>
        <w:tc>
          <w:tcPr>
            <w:tcW w:w="2091" w:type="dxa"/>
            <w:vMerge w:val="restart"/>
            <w:vAlign w:val="center"/>
          </w:tcPr>
          <w:p w14:paraId="626D15B1" w14:textId="77777777" w:rsidR="005E19D7" w:rsidRPr="0017617B" w:rsidRDefault="005E19D7" w:rsidP="00481D38">
            <w:pPr>
              <w:widowControl/>
              <w:tabs>
                <w:tab w:val="left" w:pos="993"/>
              </w:tabs>
              <w:contextualSpacing/>
              <w:jc w:val="center"/>
              <w:rPr>
                <w:sz w:val="20"/>
                <w:szCs w:val="22"/>
                <w:lang w:val="en-GB" w:bidi="ar-SA"/>
              </w:rPr>
            </w:pPr>
            <w:r w:rsidRPr="0017617B">
              <w:rPr>
                <w:sz w:val="20"/>
                <w:szCs w:val="22"/>
                <w:lang w:val="en-GB" w:bidi="ar-SA"/>
              </w:rPr>
              <w:t>Wine</w:t>
            </w:r>
          </w:p>
        </w:tc>
        <w:tc>
          <w:tcPr>
            <w:tcW w:w="3660" w:type="dxa"/>
            <w:vAlign w:val="center"/>
          </w:tcPr>
          <w:p w14:paraId="0DE60989" w14:textId="77777777" w:rsidR="005E19D7" w:rsidRPr="0017617B" w:rsidRDefault="005E19D7" w:rsidP="00481D38">
            <w:pPr>
              <w:widowControl/>
              <w:tabs>
                <w:tab w:val="left" w:pos="993"/>
              </w:tabs>
              <w:contextualSpacing/>
              <w:rPr>
                <w:sz w:val="20"/>
                <w:szCs w:val="22"/>
                <w:lang w:val="en-GB" w:bidi="ar-SA"/>
              </w:rPr>
            </w:pPr>
            <w:r w:rsidRPr="0017617B">
              <w:rPr>
                <w:sz w:val="20"/>
                <w:szCs w:val="22"/>
                <w:lang w:val="en-GB" w:bidi="ar-SA"/>
              </w:rPr>
              <w:t>Clarification</w:t>
            </w:r>
          </w:p>
        </w:tc>
        <w:tc>
          <w:tcPr>
            <w:tcW w:w="2340" w:type="dxa"/>
            <w:vAlign w:val="center"/>
          </w:tcPr>
          <w:p w14:paraId="4D088544" w14:textId="77777777" w:rsidR="005E19D7" w:rsidRPr="0017617B" w:rsidRDefault="005E19D7" w:rsidP="00481D38">
            <w:pPr>
              <w:widowControl/>
              <w:tabs>
                <w:tab w:val="left" w:pos="993"/>
              </w:tabs>
              <w:contextualSpacing/>
              <w:rPr>
                <w:sz w:val="20"/>
                <w:szCs w:val="22"/>
                <w:lang w:val="en-GB" w:bidi="ar-SA"/>
              </w:rPr>
            </w:pPr>
            <w:r w:rsidRPr="0017617B">
              <w:rPr>
                <w:sz w:val="20"/>
                <w:szCs w:val="22"/>
                <w:lang w:val="en-GB" w:bidi="ar-SA"/>
              </w:rPr>
              <w:t>100 g/100 L</w:t>
            </w:r>
          </w:p>
        </w:tc>
      </w:tr>
      <w:tr w:rsidR="005E19D7" w:rsidRPr="008C0160" w14:paraId="08FE7611" w14:textId="77777777" w:rsidTr="00900AC1">
        <w:trPr>
          <w:trHeight w:val="354"/>
        </w:trPr>
        <w:tc>
          <w:tcPr>
            <w:tcW w:w="2091" w:type="dxa"/>
            <w:vMerge/>
          </w:tcPr>
          <w:p w14:paraId="5E9E7803" w14:textId="77777777" w:rsidR="005E19D7" w:rsidRPr="0017617B" w:rsidRDefault="005E19D7" w:rsidP="00481D38">
            <w:pPr>
              <w:widowControl/>
              <w:tabs>
                <w:tab w:val="left" w:pos="993"/>
              </w:tabs>
              <w:contextualSpacing/>
              <w:rPr>
                <w:sz w:val="20"/>
                <w:szCs w:val="22"/>
                <w:lang w:val="en-GB" w:bidi="ar-SA"/>
              </w:rPr>
            </w:pPr>
          </w:p>
        </w:tc>
        <w:tc>
          <w:tcPr>
            <w:tcW w:w="3660" w:type="dxa"/>
            <w:vAlign w:val="center"/>
          </w:tcPr>
          <w:p w14:paraId="006EF26C" w14:textId="77777777" w:rsidR="005E19D7" w:rsidRPr="0017617B" w:rsidRDefault="005E19D7" w:rsidP="00481D38">
            <w:pPr>
              <w:widowControl/>
              <w:tabs>
                <w:tab w:val="left" w:pos="993"/>
              </w:tabs>
              <w:contextualSpacing/>
              <w:rPr>
                <w:sz w:val="20"/>
                <w:szCs w:val="22"/>
                <w:lang w:val="en-GB" w:bidi="ar-SA"/>
              </w:rPr>
            </w:pPr>
            <w:r w:rsidRPr="0017617B">
              <w:rPr>
                <w:sz w:val="20"/>
                <w:szCs w:val="22"/>
                <w:lang w:val="en-GB" w:bidi="ar-SA"/>
              </w:rPr>
              <w:t>Fining</w:t>
            </w:r>
          </w:p>
        </w:tc>
        <w:tc>
          <w:tcPr>
            <w:tcW w:w="2340" w:type="dxa"/>
            <w:vAlign w:val="center"/>
          </w:tcPr>
          <w:p w14:paraId="3B56B8DB" w14:textId="77777777" w:rsidR="005E19D7" w:rsidRPr="0017617B" w:rsidRDefault="005E19D7" w:rsidP="00481D38">
            <w:pPr>
              <w:widowControl/>
              <w:tabs>
                <w:tab w:val="left" w:pos="993"/>
              </w:tabs>
              <w:contextualSpacing/>
              <w:rPr>
                <w:sz w:val="20"/>
                <w:szCs w:val="22"/>
                <w:lang w:val="en-GB" w:bidi="ar-SA"/>
              </w:rPr>
            </w:pPr>
            <w:r w:rsidRPr="0017617B">
              <w:rPr>
                <w:sz w:val="20"/>
                <w:szCs w:val="22"/>
                <w:lang w:val="en-GB" w:bidi="ar-SA"/>
              </w:rPr>
              <w:t>50 g/100 L</w:t>
            </w:r>
          </w:p>
        </w:tc>
      </w:tr>
      <w:tr w:rsidR="005E19D7" w:rsidRPr="008C0160" w14:paraId="6B81CE50" w14:textId="77777777" w:rsidTr="00900AC1">
        <w:trPr>
          <w:trHeight w:val="354"/>
        </w:trPr>
        <w:tc>
          <w:tcPr>
            <w:tcW w:w="2091" w:type="dxa"/>
            <w:vMerge/>
          </w:tcPr>
          <w:p w14:paraId="25041436" w14:textId="77777777" w:rsidR="005E19D7" w:rsidRPr="0017617B" w:rsidRDefault="005E19D7" w:rsidP="00481D38">
            <w:pPr>
              <w:widowControl/>
              <w:tabs>
                <w:tab w:val="left" w:pos="993"/>
              </w:tabs>
              <w:contextualSpacing/>
              <w:rPr>
                <w:sz w:val="20"/>
                <w:szCs w:val="22"/>
                <w:lang w:val="en-GB" w:bidi="ar-SA"/>
              </w:rPr>
            </w:pPr>
          </w:p>
        </w:tc>
        <w:tc>
          <w:tcPr>
            <w:tcW w:w="3660" w:type="dxa"/>
            <w:vAlign w:val="center"/>
          </w:tcPr>
          <w:p w14:paraId="288831A3" w14:textId="77777777" w:rsidR="005E19D7" w:rsidRPr="0017617B" w:rsidRDefault="005E19D7" w:rsidP="00481D38">
            <w:pPr>
              <w:widowControl/>
              <w:tabs>
                <w:tab w:val="left" w:pos="993"/>
              </w:tabs>
              <w:contextualSpacing/>
              <w:rPr>
                <w:sz w:val="20"/>
                <w:szCs w:val="22"/>
                <w:lang w:val="en-GB" w:bidi="ar-SA"/>
              </w:rPr>
            </w:pPr>
            <w:r w:rsidRPr="0017617B">
              <w:rPr>
                <w:sz w:val="20"/>
                <w:szCs w:val="22"/>
                <w:lang w:val="en-GB" w:bidi="ar-SA"/>
              </w:rPr>
              <w:t>Removal of trace metals</w:t>
            </w:r>
          </w:p>
        </w:tc>
        <w:tc>
          <w:tcPr>
            <w:tcW w:w="2340" w:type="dxa"/>
            <w:vAlign w:val="center"/>
          </w:tcPr>
          <w:p w14:paraId="0BE501C6" w14:textId="77777777" w:rsidR="005E19D7" w:rsidRPr="0017617B" w:rsidRDefault="005E19D7" w:rsidP="00481D38">
            <w:pPr>
              <w:widowControl/>
              <w:tabs>
                <w:tab w:val="left" w:pos="993"/>
              </w:tabs>
              <w:contextualSpacing/>
              <w:rPr>
                <w:sz w:val="20"/>
                <w:szCs w:val="22"/>
                <w:lang w:val="en-GB" w:bidi="ar-SA"/>
              </w:rPr>
            </w:pPr>
            <w:r w:rsidRPr="0017617B">
              <w:rPr>
                <w:sz w:val="20"/>
                <w:szCs w:val="22"/>
                <w:lang w:val="en-GB" w:bidi="ar-SA"/>
              </w:rPr>
              <w:t>100 g/100 L</w:t>
            </w:r>
          </w:p>
        </w:tc>
      </w:tr>
      <w:tr w:rsidR="005E19D7" w:rsidRPr="008C0160" w14:paraId="377F528E" w14:textId="77777777" w:rsidTr="00900AC1">
        <w:trPr>
          <w:trHeight w:val="345"/>
        </w:trPr>
        <w:tc>
          <w:tcPr>
            <w:tcW w:w="2091" w:type="dxa"/>
            <w:vMerge/>
          </w:tcPr>
          <w:p w14:paraId="6DD4B48B" w14:textId="77777777" w:rsidR="005E19D7" w:rsidRPr="0017617B" w:rsidRDefault="005E19D7" w:rsidP="00481D38">
            <w:pPr>
              <w:widowControl/>
              <w:tabs>
                <w:tab w:val="left" w:pos="993"/>
              </w:tabs>
              <w:contextualSpacing/>
              <w:rPr>
                <w:sz w:val="20"/>
                <w:szCs w:val="22"/>
                <w:lang w:val="en-GB" w:bidi="ar-SA"/>
              </w:rPr>
            </w:pPr>
          </w:p>
        </w:tc>
        <w:tc>
          <w:tcPr>
            <w:tcW w:w="3660" w:type="dxa"/>
            <w:vAlign w:val="center"/>
          </w:tcPr>
          <w:p w14:paraId="141F1E7A" w14:textId="77777777" w:rsidR="005E19D7" w:rsidRPr="0017617B" w:rsidRDefault="005E19D7" w:rsidP="00481D38">
            <w:pPr>
              <w:widowControl/>
              <w:tabs>
                <w:tab w:val="left" w:pos="993"/>
              </w:tabs>
              <w:contextualSpacing/>
              <w:rPr>
                <w:sz w:val="20"/>
                <w:szCs w:val="22"/>
                <w:lang w:val="en-GB" w:bidi="ar-SA"/>
              </w:rPr>
            </w:pPr>
            <w:r w:rsidRPr="0017617B">
              <w:rPr>
                <w:sz w:val="20"/>
                <w:szCs w:val="22"/>
                <w:lang w:val="en-GB" w:bidi="ar-SA"/>
              </w:rPr>
              <w:t>Removal of potential mycotoxins</w:t>
            </w:r>
          </w:p>
        </w:tc>
        <w:tc>
          <w:tcPr>
            <w:tcW w:w="2340" w:type="dxa"/>
            <w:vAlign w:val="center"/>
          </w:tcPr>
          <w:p w14:paraId="08E0EA0B" w14:textId="77777777" w:rsidR="005E19D7" w:rsidRPr="0017617B" w:rsidRDefault="005E19D7" w:rsidP="00481D38">
            <w:pPr>
              <w:widowControl/>
              <w:tabs>
                <w:tab w:val="left" w:pos="993"/>
              </w:tabs>
              <w:contextualSpacing/>
              <w:rPr>
                <w:sz w:val="20"/>
                <w:szCs w:val="22"/>
                <w:lang w:val="en-GB" w:bidi="ar-SA"/>
              </w:rPr>
            </w:pPr>
            <w:r w:rsidRPr="0017617B">
              <w:rPr>
                <w:sz w:val="20"/>
                <w:szCs w:val="22"/>
                <w:lang w:val="en-GB" w:bidi="ar-SA"/>
              </w:rPr>
              <w:t>500 g/100 L</w:t>
            </w:r>
          </w:p>
        </w:tc>
      </w:tr>
      <w:tr w:rsidR="005E19D7" w:rsidRPr="008C0160" w14:paraId="1BF78E93" w14:textId="77777777" w:rsidTr="00900AC1">
        <w:trPr>
          <w:trHeight w:val="354"/>
        </w:trPr>
        <w:tc>
          <w:tcPr>
            <w:tcW w:w="2091" w:type="dxa"/>
            <w:vMerge/>
          </w:tcPr>
          <w:p w14:paraId="2A8EF205" w14:textId="77777777" w:rsidR="005E19D7" w:rsidRPr="0017617B" w:rsidRDefault="005E19D7" w:rsidP="00481D38">
            <w:pPr>
              <w:widowControl/>
              <w:tabs>
                <w:tab w:val="left" w:pos="993"/>
              </w:tabs>
              <w:contextualSpacing/>
              <w:rPr>
                <w:sz w:val="20"/>
                <w:szCs w:val="22"/>
                <w:lang w:val="en-GB" w:bidi="ar-SA"/>
              </w:rPr>
            </w:pPr>
          </w:p>
        </w:tc>
        <w:tc>
          <w:tcPr>
            <w:tcW w:w="3660" w:type="dxa"/>
            <w:vAlign w:val="center"/>
          </w:tcPr>
          <w:p w14:paraId="48E77AE3" w14:textId="77777777" w:rsidR="005E19D7" w:rsidRPr="0017617B" w:rsidRDefault="005E19D7" w:rsidP="00481D38">
            <w:pPr>
              <w:widowControl/>
              <w:tabs>
                <w:tab w:val="left" w:pos="993"/>
              </w:tabs>
              <w:contextualSpacing/>
              <w:rPr>
                <w:sz w:val="20"/>
                <w:szCs w:val="22"/>
                <w:lang w:val="en-GB" w:bidi="ar-SA"/>
              </w:rPr>
            </w:pPr>
            <w:r w:rsidRPr="0017617B">
              <w:rPr>
                <w:sz w:val="20"/>
                <w:szCs w:val="22"/>
                <w:lang w:val="en-GB" w:bidi="ar-SA"/>
              </w:rPr>
              <w:t>Prevention of oxidation of colour</w:t>
            </w:r>
          </w:p>
        </w:tc>
        <w:tc>
          <w:tcPr>
            <w:tcW w:w="2340" w:type="dxa"/>
            <w:vAlign w:val="center"/>
          </w:tcPr>
          <w:p w14:paraId="736244D5" w14:textId="77777777" w:rsidR="005E19D7" w:rsidRPr="0017617B" w:rsidRDefault="005E19D7" w:rsidP="00481D38">
            <w:pPr>
              <w:widowControl/>
              <w:tabs>
                <w:tab w:val="left" w:pos="993"/>
              </w:tabs>
              <w:contextualSpacing/>
              <w:rPr>
                <w:sz w:val="20"/>
                <w:szCs w:val="22"/>
                <w:lang w:val="en-GB" w:bidi="ar-SA"/>
              </w:rPr>
            </w:pPr>
            <w:r w:rsidRPr="0017617B">
              <w:rPr>
                <w:sz w:val="20"/>
                <w:szCs w:val="22"/>
                <w:lang w:val="en-GB" w:bidi="ar-SA"/>
              </w:rPr>
              <w:t>100 g/100 L</w:t>
            </w:r>
          </w:p>
        </w:tc>
      </w:tr>
      <w:tr w:rsidR="005E19D7" w:rsidRPr="008C0160" w14:paraId="6B33A895" w14:textId="77777777" w:rsidTr="00900AC1">
        <w:trPr>
          <w:trHeight w:val="345"/>
        </w:trPr>
        <w:tc>
          <w:tcPr>
            <w:tcW w:w="2091" w:type="dxa"/>
            <w:vMerge/>
          </w:tcPr>
          <w:p w14:paraId="03256629" w14:textId="77777777" w:rsidR="005E19D7" w:rsidRPr="0017617B" w:rsidRDefault="005E19D7" w:rsidP="00481D38">
            <w:pPr>
              <w:widowControl/>
              <w:tabs>
                <w:tab w:val="left" w:pos="993"/>
              </w:tabs>
              <w:contextualSpacing/>
              <w:rPr>
                <w:sz w:val="20"/>
                <w:szCs w:val="22"/>
                <w:lang w:val="en-GB" w:bidi="ar-SA"/>
              </w:rPr>
            </w:pPr>
          </w:p>
        </w:tc>
        <w:tc>
          <w:tcPr>
            <w:tcW w:w="3660" w:type="dxa"/>
            <w:vAlign w:val="center"/>
          </w:tcPr>
          <w:p w14:paraId="4CCCF4AE" w14:textId="77777777" w:rsidR="005E19D7" w:rsidRPr="0017617B" w:rsidRDefault="005E19D7" w:rsidP="00481D38">
            <w:pPr>
              <w:widowControl/>
              <w:tabs>
                <w:tab w:val="left" w:pos="993"/>
              </w:tabs>
              <w:contextualSpacing/>
              <w:rPr>
                <w:sz w:val="20"/>
                <w:szCs w:val="22"/>
                <w:lang w:val="en-GB" w:bidi="ar-SA"/>
              </w:rPr>
            </w:pPr>
            <w:r w:rsidRPr="0017617B">
              <w:rPr>
                <w:sz w:val="20"/>
                <w:szCs w:val="22"/>
                <w:lang w:val="en-GB" w:bidi="ar-SA"/>
              </w:rPr>
              <w:t>Reduction of heat labile proteins</w:t>
            </w:r>
          </w:p>
        </w:tc>
        <w:tc>
          <w:tcPr>
            <w:tcW w:w="2340" w:type="dxa"/>
            <w:vAlign w:val="center"/>
          </w:tcPr>
          <w:p w14:paraId="6DD3A37B" w14:textId="77777777" w:rsidR="005E19D7" w:rsidRPr="0017617B" w:rsidRDefault="005E19D7" w:rsidP="00481D38">
            <w:pPr>
              <w:widowControl/>
              <w:tabs>
                <w:tab w:val="left" w:pos="993"/>
              </w:tabs>
              <w:contextualSpacing/>
              <w:rPr>
                <w:sz w:val="20"/>
                <w:szCs w:val="22"/>
                <w:lang w:val="en-GB" w:bidi="ar-SA"/>
              </w:rPr>
            </w:pPr>
            <w:r w:rsidRPr="0017617B">
              <w:rPr>
                <w:sz w:val="20"/>
                <w:szCs w:val="22"/>
                <w:lang w:val="en-GB" w:bidi="ar-SA"/>
              </w:rPr>
              <w:t>100 g/100 L</w:t>
            </w:r>
          </w:p>
        </w:tc>
      </w:tr>
      <w:tr w:rsidR="005E19D7" w:rsidRPr="008C0160" w14:paraId="434E1566" w14:textId="77777777" w:rsidTr="00900AC1">
        <w:trPr>
          <w:trHeight w:val="354"/>
        </w:trPr>
        <w:tc>
          <w:tcPr>
            <w:tcW w:w="2091" w:type="dxa"/>
            <w:vMerge/>
          </w:tcPr>
          <w:p w14:paraId="37D7428F" w14:textId="77777777" w:rsidR="005E19D7" w:rsidRPr="0017617B" w:rsidRDefault="005E19D7" w:rsidP="00481D38">
            <w:pPr>
              <w:widowControl/>
              <w:tabs>
                <w:tab w:val="left" w:pos="993"/>
              </w:tabs>
              <w:contextualSpacing/>
              <w:rPr>
                <w:sz w:val="20"/>
                <w:szCs w:val="22"/>
                <w:lang w:val="en-GB" w:bidi="ar-SA"/>
              </w:rPr>
            </w:pPr>
          </w:p>
        </w:tc>
        <w:tc>
          <w:tcPr>
            <w:tcW w:w="3660" w:type="dxa"/>
            <w:vAlign w:val="center"/>
          </w:tcPr>
          <w:p w14:paraId="5821271D" w14:textId="77777777" w:rsidR="005E19D7" w:rsidRPr="0017617B" w:rsidRDefault="005E19D7" w:rsidP="00481D38">
            <w:pPr>
              <w:widowControl/>
              <w:tabs>
                <w:tab w:val="left" w:pos="993"/>
              </w:tabs>
              <w:contextualSpacing/>
              <w:rPr>
                <w:sz w:val="20"/>
                <w:szCs w:val="22"/>
                <w:lang w:val="en-GB" w:bidi="ar-SA"/>
              </w:rPr>
            </w:pPr>
            <w:r w:rsidRPr="0017617B">
              <w:rPr>
                <w:sz w:val="20"/>
                <w:szCs w:val="22"/>
                <w:lang w:val="en-GB" w:bidi="ar-SA"/>
              </w:rPr>
              <w:t>Aid to filtration</w:t>
            </w:r>
          </w:p>
        </w:tc>
        <w:tc>
          <w:tcPr>
            <w:tcW w:w="2340" w:type="dxa"/>
            <w:vAlign w:val="center"/>
          </w:tcPr>
          <w:p w14:paraId="0AE66219" w14:textId="77777777" w:rsidR="005E19D7" w:rsidRPr="0017617B" w:rsidRDefault="005E19D7" w:rsidP="00481D38">
            <w:pPr>
              <w:widowControl/>
              <w:tabs>
                <w:tab w:val="left" w:pos="993"/>
              </w:tabs>
              <w:contextualSpacing/>
              <w:rPr>
                <w:sz w:val="20"/>
                <w:szCs w:val="22"/>
                <w:lang w:val="en-GB" w:bidi="ar-SA"/>
              </w:rPr>
            </w:pPr>
            <w:r w:rsidRPr="0017617B">
              <w:rPr>
                <w:sz w:val="20"/>
                <w:szCs w:val="22"/>
                <w:lang w:val="en-GB" w:bidi="ar-SA"/>
              </w:rPr>
              <w:t>50 g/100 L</w:t>
            </w:r>
          </w:p>
        </w:tc>
      </w:tr>
      <w:tr w:rsidR="005E19D7" w:rsidRPr="008C0160" w14:paraId="499D5DFC" w14:textId="77777777" w:rsidTr="00900AC1">
        <w:trPr>
          <w:trHeight w:val="345"/>
        </w:trPr>
        <w:tc>
          <w:tcPr>
            <w:tcW w:w="2091" w:type="dxa"/>
            <w:vMerge w:val="restart"/>
            <w:vAlign w:val="center"/>
          </w:tcPr>
          <w:p w14:paraId="2597CC5D" w14:textId="77777777" w:rsidR="005E19D7" w:rsidRPr="0017617B" w:rsidRDefault="005E19D7" w:rsidP="00481D38">
            <w:pPr>
              <w:widowControl/>
              <w:tabs>
                <w:tab w:val="left" w:pos="993"/>
              </w:tabs>
              <w:contextualSpacing/>
              <w:jc w:val="center"/>
              <w:rPr>
                <w:sz w:val="20"/>
                <w:szCs w:val="22"/>
                <w:lang w:val="en-GB" w:bidi="ar-SA"/>
              </w:rPr>
            </w:pPr>
            <w:r w:rsidRPr="0017617B">
              <w:rPr>
                <w:sz w:val="20"/>
                <w:szCs w:val="22"/>
                <w:lang w:val="en-GB" w:bidi="ar-SA"/>
              </w:rPr>
              <w:t>Must</w:t>
            </w:r>
          </w:p>
        </w:tc>
        <w:tc>
          <w:tcPr>
            <w:tcW w:w="3660" w:type="dxa"/>
            <w:vAlign w:val="center"/>
          </w:tcPr>
          <w:p w14:paraId="4B87CB40" w14:textId="77777777" w:rsidR="005E19D7" w:rsidRPr="0017617B" w:rsidRDefault="005E19D7" w:rsidP="00481D38">
            <w:pPr>
              <w:widowControl/>
              <w:tabs>
                <w:tab w:val="left" w:pos="993"/>
              </w:tabs>
              <w:contextualSpacing/>
              <w:rPr>
                <w:sz w:val="20"/>
                <w:szCs w:val="22"/>
                <w:lang w:val="en-GB" w:bidi="ar-SA"/>
              </w:rPr>
            </w:pPr>
            <w:r w:rsidRPr="0017617B">
              <w:rPr>
                <w:sz w:val="20"/>
                <w:szCs w:val="22"/>
                <w:lang w:val="en-GB" w:bidi="ar-SA"/>
              </w:rPr>
              <w:t>Clarification/removal of off-flavour</w:t>
            </w:r>
          </w:p>
        </w:tc>
        <w:tc>
          <w:tcPr>
            <w:tcW w:w="2340" w:type="dxa"/>
            <w:vAlign w:val="center"/>
          </w:tcPr>
          <w:p w14:paraId="338D2A52" w14:textId="77777777" w:rsidR="005E19D7" w:rsidRPr="0017617B" w:rsidRDefault="005E19D7" w:rsidP="00481D38">
            <w:pPr>
              <w:widowControl/>
              <w:tabs>
                <w:tab w:val="left" w:pos="993"/>
              </w:tabs>
              <w:rPr>
                <w:sz w:val="20"/>
                <w:szCs w:val="22"/>
                <w:lang w:val="en-GB" w:bidi="ar-SA"/>
              </w:rPr>
            </w:pPr>
            <w:r w:rsidRPr="0017617B">
              <w:rPr>
                <w:sz w:val="20"/>
                <w:szCs w:val="22"/>
                <w:lang w:val="en-GB" w:bidi="ar-SA"/>
              </w:rPr>
              <w:t>100 g/100 L</w:t>
            </w:r>
          </w:p>
        </w:tc>
      </w:tr>
      <w:tr w:rsidR="005E19D7" w:rsidRPr="008C0160" w14:paraId="06423E81" w14:textId="77777777" w:rsidTr="00900AC1">
        <w:trPr>
          <w:trHeight w:val="354"/>
        </w:trPr>
        <w:tc>
          <w:tcPr>
            <w:tcW w:w="2091" w:type="dxa"/>
            <w:vMerge/>
          </w:tcPr>
          <w:p w14:paraId="352B705A" w14:textId="77777777" w:rsidR="005E19D7" w:rsidRPr="0017617B" w:rsidRDefault="005E19D7" w:rsidP="00481D38">
            <w:pPr>
              <w:widowControl/>
              <w:tabs>
                <w:tab w:val="left" w:pos="993"/>
              </w:tabs>
              <w:contextualSpacing/>
              <w:rPr>
                <w:sz w:val="20"/>
                <w:szCs w:val="22"/>
                <w:lang w:val="en-GB" w:bidi="ar-SA"/>
              </w:rPr>
            </w:pPr>
          </w:p>
        </w:tc>
        <w:tc>
          <w:tcPr>
            <w:tcW w:w="3660" w:type="dxa"/>
            <w:vAlign w:val="center"/>
          </w:tcPr>
          <w:p w14:paraId="5E82046F" w14:textId="77777777" w:rsidR="005E19D7" w:rsidRPr="0017617B" w:rsidRDefault="005E19D7" w:rsidP="00481D38">
            <w:pPr>
              <w:widowControl/>
              <w:tabs>
                <w:tab w:val="left" w:pos="993"/>
              </w:tabs>
              <w:contextualSpacing/>
              <w:rPr>
                <w:sz w:val="20"/>
                <w:szCs w:val="22"/>
                <w:lang w:val="en-GB" w:bidi="ar-SA"/>
              </w:rPr>
            </w:pPr>
            <w:r w:rsidRPr="0017617B">
              <w:rPr>
                <w:sz w:val="20"/>
                <w:szCs w:val="22"/>
                <w:lang w:val="en-GB" w:bidi="ar-SA"/>
              </w:rPr>
              <w:t>Removal of potential mycotoxins</w:t>
            </w:r>
          </w:p>
        </w:tc>
        <w:tc>
          <w:tcPr>
            <w:tcW w:w="2340" w:type="dxa"/>
            <w:vAlign w:val="center"/>
          </w:tcPr>
          <w:p w14:paraId="3CF10B10" w14:textId="77777777" w:rsidR="005E19D7" w:rsidRPr="0017617B" w:rsidRDefault="005E19D7" w:rsidP="00481D38">
            <w:pPr>
              <w:widowControl/>
              <w:tabs>
                <w:tab w:val="left" w:pos="993"/>
              </w:tabs>
              <w:rPr>
                <w:sz w:val="20"/>
                <w:szCs w:val="22"/>
                <w:lang w:val="en-GB" w:bidi="ar-SA"/>
              </w:rPr>
            </w:pPr>
            <w:r w:rsidRPr="0017617B">
              <w:rPr>
                <w:sz w:val="20"/>
                <w:szCs w:val="22"/>
                <w:lang w:val="en-GB" w:bidi="ar-SA"/>
              </w:rPr>
              <w:t>500 g/100 L</w:t>
            </w:r>
          </w:p>
        </w:tc>
      </w:tr>
      <w:tr w:rsidR="005E19D7" w:rsidRPr="008C0160" w14:paraId="26BCF74D" w14:textId="77777777" w:rsidTr="00900AC1">
        <w:trPr>
          <w:trHeight w:val="345"/>
        </w:trPr>
        <w:tc>
          <w:tcPr>
            <w:tcW w:w="2091" w:type="dxa"/>
            <w:vMerge/>
          </w:tcPr>
          <w:p w14:paraId="36649E99" w14:textId="77777777" w:rsidR="005E19D7" w:rsidRPr="0017617B" w:rsidRDefault="005E19D7" w:rsidP="00481D38">
            <w:pPr>
              <w:widowControl/>
              <w:tabs>
                <w:tab w:val="left" w:pos="993"/>
              </w:tabs>
              <w:contextualSpacing/>
              <w:rPr>
                <w:sz w:val="20"/>
                <w:szCs w:val="22"/>
                <w:lang w:val="en-GB" w:bidi="ar-SA"/>
              </w:rPr>
            </w:pPr>
          </w:p>
        </w:tc>
        <w:tc>
          <w:tcPr>
            <w:tcW w:w="3660" w:type="dxa"/>
            <w:vAlign w:val="center"/>
          </w:tcPr>
          <w:p w14:paraId="4D253537" w14:textId="77777777" w:rsidR="005E19D7" w:rsidRPr="0017617B" w:rsidRDefault="005E19D7" w:rsidP="00481D38">
            <w:pPr>
              <w:widowControl/>
              <w:tabs>
                <w:tab w:val="left" w:pos="993"/>
              </w:tabs>
              <w:contextualSpacing/>
              <w:rPr>
                <w:sz w:val="20"/>
                <w:szCs w:val="22"/>
                <w:lang w:val="en-GB" w:bidi="ar-SA"/>
              </w:rPr>
            </w:pPr>
            <w:r w:rsidRPr="0017617B">
              <w:rPr>
                <w:sz w:val="20"/>
                <w:szCs w:val="22"/>
                <w:lang w:val="en-GB" w:bidi="ar-SA"/>
              </w:rPr>
              <w:t>Prevention of oxidation of colour</w:t>
            </w:r>
          </w:p>
        </w:tc>
        <w:tc>
          <w:tcPr>
            <w:tcW w:w="2340" w:type="dxa"/>
            <w:vAlign w:val="center"/>
          </w:tcPr>
          <w:p w14:paraId="27774C75" w14:textId="77777777" w:rsidR="005E19D7" w:rsidRPr="0017617B" w:rsidRDefault="005E19D7" w:rsidP="00481D38">
            <w:pPr>
              <w:widowControl/>
              <w:tabs>
                <w:tab w:val="left" w:pos="993"/>
              </w:tabs>
              <w:rPr>
                <w:sz w:val="20"/>
                <w:szCs w:val="22"/>
                <w:lang w:val="en-GB" w:bidi="ar-SA"/>
              </w:rPr>
            </w:pPr>
            <w:r w:rsidRPr="0017617B">
              <w:rPr>
                <w:sz w:val="20"/>
                <w:szCs w:val="22"/>
                <w:lang w:val="en-GB" w:bidi="ar-SA"/>
              </w:rPr>
              <w:t>100 g/100 L</w:t>
            </w:r>
          </w:p>
        </w:tc>
      </w:tr>
    </w:tbl>
    <w:p w14:paraId="3A6813CC" w14:textId="77777777" w:rsidR="005E19D7" w:rsidRPr="0017617B" w:rsidRDefault="005E19D7" w:rsidP="005E19D7">
      <w:pPr>
        <w:widowControl/>
        <w:tabs>
          <w:tab w:val="left" w:pos="993"/>
        </w:tabs>
        <w:ind w:left="927"/>
        <w:contextualSpacing/>
        <w:rPr>
          <w:rFonts w:eastAsia="Calibri"/>
          <w:szCs w:val="22"/>
          <w:lang w:bidi="ar-SA"/>
        </w:rPr>
      </w:pPr>
      <w:r w:rsidRPr="0017617B">
        <w:rPr>
          <w:rFonts w:eastAsia="Calibri"/>
          <w:szCs w:val="22"/>
          <w:lang w:bidi="ar-SA"/>
        </w:rPr>
        <w:t xml:space="preserve"> </w:t>
      </w:r>
    </w:p>
    <w:p w14:paraId="45CC563F" w14:textId="77777777" w:rsidR="005E19D7" w:rsidRPr="0017617B" w:rsidRDefault="005E19D7" w:rsidP="005E19D7">
      <w:pPr>
        <w:widowControl/>
        <w:tabs>
          <w:tab w:val="left" w:pos="993"/>
        </w:tabs>
        <w:contextualSpacing/>
        <w:rPr>
          <w:rFonts w:eastAsia="Calibri"/>
          <w:szCs w:val="22"/>
          <w:lang w:bidi="ar-SA"/>
        </w:rPr>
      </w:pPr>
      <w:r w:rsidRPr="0017617B">
        <w:rPr>
          <w:rFonts w:eastAsia="Calibri"/>
          <w:szCs w:val="22"/>
          <w:lang w:bidi="ar-SA"/>
        </w:rPr>
        <w:t>Note: in the US</w:t>
      </w:r>
      <w:r w:rsidR="009B7EF8" w:rsidRPr="0017617B">
        <w:rPr>
          <w:rFonts w:eastAsia="Calibri"/>
          <w:szCs w:val="22"/>
          <w:lang w:bidi="ar-SA"/>
        </w:rPr>
        <w:t>A</w:t>
      </w:r>
      <w:r w:rsidRPr="0017617B">
        <w:rPr>
          <w:rFonts w:eastAsia="Calibri"/>
          <w:szCs w:val="22"/>
          <w:lang w:bidi="ar-SA"/>
        </w:rPr>
        <w:t xml:space="preserve">, </w:t>
      </w:r>
      <w:r w:rsidR="00342B97">
        <w:rPr>
          <w:rFonts w:eastAsia="Calibri"/>
          <w:szCs w:val="22"/>
          <w:lang w:bidi="ar-SA"/>
        </w:rPr>
        <w:t>c</w:t>
      </w:r>
      <w:r w:rsidRPr="0017617B">
        <w:rPr>
          <w:rFonts w:eastAsia="Calibri"/>
          <w:szCs w:val="22"/>
          <w:lang w:bidi="ar-SA"/>
        </w:rPr>
        <w:t>hitin-glucan is used as a processing</w:t>
      </w:r>
      <w:r w:rsidR="005C63B4" w:rsidRPr="0017617B">
        <w:rPr>
          <w:rFonts w:eastAsia="Calibri"/>
          <w:szCs w:val="22"/>
          <w:lang w:bidi="ar-SA"/>
        </w:rPr>
        <w:t xml:space="preserve"> </w:t>
      </w:r>
      <w:r w:rsidRPr="0017617B">
        <w:rPr>
          <w:rFonts w:eastAsia="Calibri"/>
          <w:szCs w:val="22"/>
          <w:lang w:bidi="ar-SA"/>
        </w:rPr>
        <w:t xml:space="preserve">aid during alcoholic beverage production and is subsequently removed by physical separation processes </w:t>
      </w:r>
      <w:r w:rsidR="00955C5E" w:rsidRPr="0017617B">
        <w:rPr>
          <w:rFonts w:eastAsia="Calibri"/>
          <w:szCs w:val="22"/>
          <w:lang w:bidi="ar-SA"/>
        </w:rPr>
        <w:t>before</w:t>
      </w:r>
      <w:r w:rsidRPr="0017617B">
        <w:rPr>
          <w:rFonts w:eastAsia="Calibri"/>
          <w:szCs w:val="22"/>
          <w:lang w:bidi="ar-SA"/>
        </w:rPr>
        <w:t xml:space="preserve"> bottling. Therefore</w:t>
      </w:r>
      <w:r w:rsidR="00992228">
        <w:rPr>
          <w:rFonts w:eastAsia="Calibri"/>
          <w:szCs w:val="22"/>
          <w:lang w:bidi="ar-SA"/>
        </w:rPr>
        <w:t>,</w:t>
      </w:r>
      <w:r w:rsidRPr="0017617B">
        <w:rPr>
          <w:rFonts w:eastAsia="Calibri"/>
          <w:szCs w:val="22"/>
          <w:lang w:bidi="ar-SA"/>
        </w:rPr>
        <w:t xml:space="preserve"> the </w:t>
      </w:r>
      <w:r w:rsidR="0068209E">
        <w:rPr>
          <w:rFonts w:eastAsia="Calibri"/>
          <w:szCs w:val="22"/>
          <w:lang w:bidi="ar-SA"/>
        </w:rPr>
        <w:t>above use concentr</w:t>
      </w:r>
      <w:r w:rsidR="001C2CF0">
        <w:rPr>
          <w:rFonts w:eastAsia="Calibri"/>
          <w:szCs w:val="22"/>
          <w:lang w:bidi="ar-SA"/>
        </w:rPr>
        <w:t>at</w:t>
      </w:r>
      <w:r w:rsidR="0068209E">
        <w:rPr>
          <w:rFonts w:eastAsia="Calibri"/>
          <w:szCs w:val="22"/>
          <w:lang w:bidi="ar-SA"/>
        </w:rPr>
        <w:t xml:space="preserve">ions </w:t>
      </w:r>
      <w:r w:rsidRPr="0017617B">
        <w:rPr>
          <w:rFonts w:eastAsia="Calibri"/>
          <w:szCs w:val="22"/>
          <w:lang w:bidi="ar-SA"/>
        </w:rPr>
        <w:t xml:space="preserve">do not constitute concentrations of chitin-glucan in the final product, from which </w:t>
      </w:r>
      <w:r w:rsidRPr="0017617B">
        <w:rPr>
          <w:rFonts w:eastAsia="Calibri"/>
        </w:rPr>
        <w:t>chitin-glucan</w:t>
      </w:r>
      <w:r w:rsidRPr="0017617B">
        <w:rPr>
          <w:rFonts w:eastAsia="Calibri"/>
          <w:szCs w:val="22"/>
          <w:lang w:bidi="ar-SA"/>
        </w:rPr>
        <w:t xml:space="preserve"> is absent.</w:t>
      </w:r>
    </w:p>
    <w:p w14:paraId="4B158042" w14:textId="77777777" w:rsidR="00991712" w:rsidRPr="008C0160" w:rsidRDefault="009B7EF8" w:rsidP="0017617B">
      <w:pPr>
        <w:pStyle w:val="Heading3"/>
      </w:pPr>
      <w:bookmarkStart w:id="18" w:name="_Toc476908560"/>
      <w:bookmarkStart w:id="19" w:name="_Toc478375781"/>
      <w:r w:rsidRPr="008C0160">
        <w:t>1.3</w:t>
      </w:r>
      <w:r w:rsidRPr="008C0160">
        <w:tab/>
      </w:r>
      <w:r w:rsidR="00E85511" w:rsidRPr="008C0160">
        <w:t xml:space="preserve">Risk </w:t>
      </w:r>
      <w:r w:rsidR="00955C5E" w:rsidRPr="008C0160">
        <w:t>a</w:t>
      </w:r>
      <w:r w:rsidR="00E85511" w:rsidRPr="008C0160">
        <w:t xml:space="preserve">ssessment </w:t>
      </w:r>
      <w:r w:rsidR="00955C5E" w:rsidRPr="008C0160">
        <w:t>q</w:t>
      </w:r>
      <w:r w:rsidR="00E85511" w:rsidRPr="008C0160">
        <w:t>uestions</w:t>
      </w:r>
      <w:bookmarkEnd w:id="18"/>
      <w:bookmarkEnd w:id="19"/>
    </w:p>
    <w:p w14:paraId="12E647DC" w14:textId="77777777" w:rsidR="00E91864" w:rsidRPr="008C0160" w:rsidRDefault="009B7EF8" w:rsidP="0017617B">
      <w:pPr>
        <w:pStyle w:val="Heading4"/>
      </w:pPr>
      <w:r w:rsidRPr="008C0160">
        <w:t>1.3.1</w:t>
      </w:r>
      <w:r w:rsidRPr="008C0160">
        <w:tab/>
      </w:r>
      <w:r w:rsidR="00887741" w:rsidRPr="008C0160">
        <w:t>Technological function</w:t>
      </w:r>
    </w:p>
    <w:p w14:paraId="275F7B45" w14:textId="77777777" w:rsidR="00991712" w:rsidRPr="0017617B" w:rsidRDefault="00991712" w:rsidP="00392110">
      <w:pPr>
        <w:widowControl/>
        <w:tabs>
          <w:tab w:val="left" w:pos="993"/>
        </w:tabs>
        <w:contextualSpacing/>
        <w:rPr>
          <w:rFonts w:eastAsia="Calibri"/>
          <w:szCs w:val="22"/>
          <w:lang w:bidi="ar-SA"/>
        </w:rPr>
      </w:pPr>
      <w:r w:rsidRPr="0017617B">
        <w:rPr>
          <w:rFonts w:eastAsia="Calibri"/>
          <w:szCs w:val="22"/>
          <w:lang w:bidi="ar-SA"/>
        </w:rPr>
        <w:t>Is the technological function clearly stated and does chitin-glucan achieve that function as a food processing aid in the quantity and form proposed?</w:t>
      </w:r>
    </w:p>
    <w:p w14:paraId="1508D053" w14:textId="77777777" w:rsidR="00392110" w:rsidRPr="008C0160" w:rsidRDefault="009B7EF8" w:rsidP="0017617B">
      <w:pPr>
        <w:pStyle w:val="Heading4"/>
      </w:pPr>
      <w:r w:rsidRPr="008C0160">
        <w:t>1.3.2</w:t>
      </w:r>
      <w:r w:rsidRPr="008C0160">
        <w:tab/>
      </w:r>
      <w:r w:rsidR="00887741" w:rsidRPr="008C0160">
        <w:t>Health and safety</w:t>
      </w:r>
    </w:p>
    <w:p w14:paraId="0E2CB3DB" w14:textId="77777777" w:rsidR="00991712" w:rsidRPr="0017617B" w:rsidRDefault="00991712" w:rsidP="00392110">
      <w:pPr>
        <w:widowControl/>
        <w:tabs>
          <w:tab w:val="left" w:pos="993"/>
        </w:tabs>
        <w:contextualSpacing/>
        <w:rPr>
          <w:rFonts w:eastAsia="Calibri"/>
          <w:szCs w:val="22"/>
          <w:lang w:bidi="ar-SA"/>
        </w:rPr>
      </w:pPr>
      <w:r w:rsidRPr="0017617B">
        <w:rPr>
          <w:rFonts w:eastAsia="Calibri"/>
          <w:szCs w:val="22"/>
          <w:lang w:bidi="ar-SA"/>
        </w:rPr>
        <w:t>What, if any are the potential public health and safety concerns arising from the use of chitin-glucan as a processing aid in the manufacture of wine in Australia and New Zealand?</w:t>
      </w:r>
    </w:p>
    <w:p w14:paraId="63FC98C5" w14:textId="77777777" w:rsidR="002F5B61" w:rsidRPr="008C0160" w:rsidRDefault="00AF1D64" w:rsidP="00936045">
      <w:pPr>
        <w:pStyle w:val="Heading2"/>
      </w:pPr>
      <w:bookmarkStart w:id="20" w:name="_Toc472668671"/>
      <w:bookmarkStart w:id="21" w:name="_Toc476908561"/>
      <w:bookmarkStart w:id="22" w:name="_Toc478375782"/>
      <w:r w:rsidRPr="008C0160">
        <w:t>2</w:t>
      </w:r>
      <w:r w:rsidR="009B7EF8" w:rsidRPr="008C0160">
        <w:tab/>
      </w:r>
      <w:r w:rsidR="002F5B61" w:rsidRPr="008C0160">
        <w:t>Food technology assessment</w:t>
      </w:r>
      <w:bookmarkEnd w:id="20"/>
      <w:bookmarkEnd w:id="21"/>
      <w:bookmarkEnd w:id="22"/>
    </w:p>
    <w:p w14:paraId="6C7DB0F4" w14:textId="77777777" w:rsidR="002F5B61" w:rsidRPr="008C0160" w:rsidRDefault="00AF1D64" w:rsidP="00AF1D64">
      <w:pPr>
        <w:pStyle w:val="Heading3"/>
      </w:pPr>
      <w:bookmarkStart w:id="23" w:name="_Toc472668672"/>
      <w:bookmarkStart w:id="24" w:name="_Toc476908562"/>
      <w:bookmarkStart w:id="25" w:name="_Toc478375783"/>
      <w:r w:rsidRPr="008C0160">
        <w:t>2.1</w:t>
      </w:r>
      <w:r w:rsidR="009B7EF8" w:rsidRPr="008C0160">
        <w:tab/>
      </w:r>
      <w:r w:rsidR="002F5B61" w:rsidRPr="008C0160">
        <w:t>Technological purpose</w:t>
      </w:r>
      <w:bookmarkEnd w:id="23"/>
      <w:bookmarkEnd w:id="24"/>
      <w:bookmarkEnd w:id="25"/>
    </w:p>
    <w:p w14:paraId="2CFA765B" w14:textId="77777777" w:rsidR="002F5B61" w:rsidRPr="0017617B" w:rsidRDefault="002F5B61" w:rsidP="00DD760C">
      <w:pPr>
        <w:widowControl/>
        <w:tabs>
          <w:tab w:val="left" w:pos="1134"/>
        </w:tabs>
        <w:rPr>
          <w:rFonts w:eastAsia="Calibri"/>
          <w:szCs w:val="22"/>
          <w:lang w:bidi="ar-SA"/>
        </w:rPr>
      </w:pPr>
      <w:r w:rsidRPr="008C0160">
        <w:rPr>
          <w:rFonts w:eastAsia="Calibri"/>
          <w:szCs w:val="22"/>
          <w:lang w:bidi="ar-SA"/>
        </w:rPr>
        <w:t>According to the</w:t>
      </w:r>
      <w:r w:rsidR="005E19D7" w:rsidRPr="008C0160">
        <w:t xml:space="preserve"> </w:t>
      </w:r>
      <w:r w:rsidRPr="008C0160">
        <w:rPr>
          <w:rFonts w:eastAsia="Calibri"/>
          <w:szCs w:val="22"/>
          <w:lang w:bidi="ar-SA"/>
        </w:rPr>
        <w:t>OIV, chitin-glucan</w:t>
      </w:r>
      <w:r w:rsidRPr="0017617B">
        <w:rPr>
          <w:rFonts w:eastAsia="Calibri"/>
          <w:szCs w:val="22"/>
          <w:lang w:bidi="ar-SA"/>
        </w:rPr>
        <w:t>, when used as a processing aid in the manufacture of wine is a fining agent</w:t>
      </w:r>
      <w:r w:rsidR="00E07BBF">
        <w:rPr>
          <w:rFonts w:eastAsia="Calibri"/>
          <w:szCs w:val="22"/>
          <w:lang w:bidi="ar-SA"/>
        </w:rPr>
        <w:t xml:space="preserve">. </w:t>
      </w:r>
      <w:r w:rsidR="00E07BBF" w:rsidRPr="00E07BBF">
        <w:rPr>
          <w:rFonts w:eastAsia="Calibri"/>
          <w:szCs w:val="22"/>
          <w:lang w:bidi="ar-SA"/>
        </w:rPr>
        <w:t>The purpose of adding a fining agent preparation to wine is to soften or reduce its astringency and/or bitterness; remove proteins capable of haze formation; or reduce colour by the adsorption and precipitation of polymeric phenols and tannins</w:t>
      </w:r>
      <w:r w:rsidR="00E07BBF">
        <w:rPr>
          <w:rFonts w:eastAsia="Calibri"/>
          <w:szCs w:val="22"/>
          <w:lang w:bidi="ar-SA"/>
        </w:rPr>
        <w:t>.</w:t>
      </w:r>
    </w:p>
    <w:p w14:paraId="1F9B4253" w14:textId="77777777" w:rsidR="005E6151" w:rsidRPr="0017617B" w:rsidRDefault="005E6151" w:rsidP="00DD760C">
      <w:pPr>
        <w:widowControl/>
        <w:tabs>
          <w:tab w:val="left" w:pos="1134"/>
        </w:tabs>
        <w:rPr>
          <w:rFonts w:eastAsia="Calibri"/>
          <w:szCs w:val="22"/>
          <w:lang w:bidi="ar-SA"/>
        </w:rPr>
      </w:pPr>
    </w:p>
    <w:p w14:paraId="224C25A6" w14:textId="77777777" w:rsidR="002F5B61" w:rsidRPr="008C0160" w:rsidRDefault="002F5B61" w:rsidP="00DD760C">
      <w:pPr>
        <w:widowControl/>
        <w:tabs>
          <w:tab w:val="left" w:pos="1134"/>
        </w:tabs>
        <w:rPr>
          <w:rFonts w:eastAsia="Calibri" w:cs="Arial"/>
          <w:sz w:val="19"/>
          <w:szCs w:val="19"/>
          <w:lang w:bidi="ar-SA"/>
        </w:rPr>
      </w:pPr>
      <w:r w:rsidRPr="0017617B">
        <w:rPr>
          <w:rFonts w:eastAsia="Calibri"/>
          <w:szCs w:val="22"/>
          <w:lang w:bidi="ar-SA"/>
        </w:rPr>
        <w:lastRenderedPageBreak/>
        <w:t xml:space="preserve">It is also used for stabilising wines after alcoholic fermentation and stabilises the iron content in wine </w:t>
      </w:r>
      <w:r w:rsidR="00955C5E" w:rsidRPr="0017617B">
        <w:rPr>
          <w:rFonts w:eastAsia="Calibri"/>
          <w:szCs w:val="22"/>
          <w:lang w:bidi="ar-SA"/>
        </w:rPr>
        <w:t>before</w:t>
      </w:r>
      <w:r w:rsidRPr="0017617B">
        <w:rPr>
          <w:rFonts w:eastAsia="Calibri"/>
          <w:szCs w:val="22"/>
          <w:lang w:bidi="ar-SA"/>
        </w:rPr>
        <w:t xml:space="preserve"> bottling, preventing undesirable red colours in white wines. Information provided by the applicant shows that chitin-glucan also helps eliminate undesirable compounds such as </w:t>
      </w:r>
      <w:r w:rsidR="00DC323C">
        <w:rPr>
          <w:rFonts w:eastAsia="Calibri"/>
          <w:szCs w:val="22"/>
          <w:lang w:bidi="ar-SA"/>
        </w:rPr>
        <w:t>metals</w:t>
      </w:r>
      <w:r w:rsidRPr="0017617B">
        <w:rPr>
          <w:rFonts w:eastAsia="Calibri"/>
          <w:szCs w:val="22"/>
          <w:lang w:bidi="ar-SA"/>
        </w:rPr>
        <w:t xml:space="preserve"> and mycotoxins such as </w:t>
      </w:r>
      <w:r w:rsidR="00342B97">
        <w:rPr>
          <w:rFonts w:eastAsia="Calibri"/>
          <w:szCs w:val="22"/>
          <w:lang w:bidi="ar-SA"/>
        </w:rPr>
        <w:t>o</w:t>
      </w:r>
      <w:r w:rsidR="00A12AE3" w:rsidRPr="008C0160">
        <w:rPr>
          <w:rFonts w:eastAsia="Calibri"/>
          <w:szCs w:val="22"/>
          <w:lang w:bidi="ar-SA"/>
        </w:rPr>
        <w:t xml:space="preserve">chratoxin </w:t>
      </w:r>
      <w:r w:rsidRPr="008C0160">
        <w:rPr>
          <w:rFonts w:eastAsia="Calibri"/>
          <w:szCs w:val="22"/>
          <w:lang w:bidi="ar-SA"/>
        </w:rPr>
        <w:t>A</w:t>
      </w:r>
      <w:r w:rsidRPr="0017617B">
        <w:rPr>
          <w:rFonts w:eastAsia="Calibri"/>
          <w:szCs w:val="22"/>
          <w:lang w:bidi="ar-SA"/>
        </w:rPr>
        <w:t xml:space="preserve"> (Table 1) Both the EU and USA permissions refer to </w:t>
      </w:r>
      <w:r w:rsidR="0068209E">
        <w:rPr>
          <w:rFonts w:eastAsia="Calibri"/>
          <w:szCs w:val="22"/>
          <w:lang w:bidi="ar-SA"/>
        </w:rPr>
        <w:t xml:space="preserve">the </w:t>
      </w:r>
      <w:r w:rsidRPr="0017617B">
        <w:rPr>
          <w:rFonts w:eastAsia="Calibri"/>
          <w:szCs w:val="22"/>
          <w:lang w:bidi="ar-SA"/>
        </w:rPr>
        <w:t xml:space="preserve">ability of </w:t>
      </w:r>
      <w:r w:rsidR="000179A0" w:rsidRPr="0017617B">
        <w:rPr>
          <w:rFonts w:eastAsia="Calibri"/>
          <w:szCs w:val="22"/>
          <w:lang w:bidi="ar-SA"/>
        </w:rPr>
        <w:t>chitin</w:t>
      </w:r>
      <w:r w:rsidR="005C63B4" w:rsidRPr="0017617B">
        <w:rPr>
          <w:rFonts w:eastAsia="Calibri"/>
          <w:szCs w:val="22"/>
          <w:lang w:bidi="ar-SA"/>
        </w:rPr>
        <w:t>-glucan</w:t>
      </w:r>
      <w:r w:rsidRPr="0017617B">
        <w:rPr>
          <w:rFonts w:eastAsia="Calibri"/>
          <w:szCs w:val="22"/>
          <w:lang w:bidi="ar-SA"/>
        </w:rPr>
        <w:t xml:space="preserve"> to remove </w:t>
      </w:r>
      <w:r w:rsidR="00DC323C">
        <w:rPr>
          <w:rFonts w:eastAsia="Calibri"/>
          <w:szCs w:val="22"/>
          <w:lang w:bidi="ar-SA"/>
        </w:rPr>
        <w:t>metals</w:t>
      </w:r>
      <w:r w:rsidRPr="0017617B">
        <w:rPr>
          <w:rFonts w:eastAsia="Calibri"/>
          <w:szCs w:val="22"/>
          <w:lang w:bidi="ar-SA"/>
        </w:rPr>
        <w:t xml:space="preserve"> and mycotoxins or micro-organisms from wine or wine must. The sediments that contain the chitin-glucan are removed from the must or wine at the end of the treatment by physical separation processes such as racking, centrifugation and/or filtration.</w:t>
      </w:r>
    </w:p>
    <w:p w14:paraId="5E4D0D52" w14:textId="77777777" w:rsidR="002F5B61" w:rsidRPr="008C0160" w:rsidRDefault="00AF1D64" w:rsidP="0017617B">
      <w:pPr>
        <w:pStyle w:val="Heading3"/>
      </w:pPr>
      <w:bookmarkStart w:id="26" w:name="_Toc472668673"/>
      <w:bookmarkStart w:id="27" w:name="_Toc476908563"/>
      <w:bookmarkStart w:id="28" w:name="_Toc478375784"/>
      <w:r w:rsidRPr="008C0160">
        <w:t>2.</w:t>
      </w:r>
      <w:r w:rsidR="009B7EF8" w:rsidRPr="008C0160">
        <w:t>2</w:t>
      </w:r>
      <w:r w:rsidR="009B7EF8" w:rsidRPr="008C0160">
        <w:tab/>
      </w:r>
      <w:r w:rsidR="002F5B61" w:rsidRPr="008C0160">
        <w:t>Technological justification</w:t>
      </w:r>
      <w:bookmarkEnd w:id="26"/>
      <w:bookmarkEnd w:id="27"/>
      <w:bookmarkEnd w:id="28"/>
    </w:p>
    <w:p w14:paraId="4D04EF96" w14:textId="77777777" w:rsidR="00A12AE3" w:rsidRPr="008C0160" w:rsidRDefault="002F5B61" w:rsidP="00DD760C">
      <w:pPr>
        <w:widowControl/>
        <w:tabs>
          <w:tab w:val="left" w:pos="1134"/>
        </w:tabs>
        <w:rPr>
          <w:rFonts w:eastAsia="Calibri"/>
          <w:szCs w:val="22"/>
          <w:lang w:bidi="ar-SA"/>
        </w:rPr>
      </w:pPr>
      <w:r w:rsidRPr="008C0160">
        <w:rPr>
          <w:rFonts w:eastAsia="Calibri"/>
          <w:szCs w:val="22"/>
          <w:lang w:bidi="ar-SA"/>
        </w:rPr>
        <w:t>Test results for remov</w:t>
      </w:r>
      <w:r w:rsidR="007C4A3D" w:rsidRPr="008C0160">
        <w:rPr>
          <w:rFonts w:eastAsia="Calibri"/>
          <w:szCs w:val="22"/>
          <w:lang w:bidi="ar-SA"/>
        </w:rPr>
        <w:t xml:space="preserve">ing </w:t>
      </w:r>
      <w:r w:rsidRPr="008C0160">
        <w:rPr>
          <w:rFonts w:eastAsia="Calibri"/>
          <w:szCs w:val="22"/>
          <w:lang w:bidi="ar-SA"/>
        </w:rPr>
        <w:t xml:space="preserve">heavy metal and organic </w:t>
      </w:r>
      <w:r w:rsidR="000179A0" w:rsidRPr="008C0160">
        <w:rPr>
          <w:rFonts w:eastAsia="Calibri"/>
          <w:szCs w:val="22"/>
          <w:lang w:bidi="ar-SA"/>
        </w:rPr>
        <w:t>contaminants by chitin-glucan</w:t>
      </w:r>
      <w:r w:rsidR="00B018F9">
        <w:rPr>
          <w:rFonts w:eastAsia="Calibri"/>
          <w:szCs w:val="22"/>
          <w:lang w:bidi="ar-SA"/>
        </w:rPr>
        <w:t xml:space="preserve"> </w:t>
      </w:r>
      <w:r w:rsidR="000179A0" w:rsidRPr="008C0160">
        <w:rPr>
          <w:rFonts w:eastAsia="Calibri"/>
          <w:szCs w:val="22"/>
          <w:lang w:bidi="ar-SA"/>
        </w:rPr>
        <w:t>in wine were</w:t>
      </w:r>
      <w:r w:rsidRPr="008C0160">
        <w:rPr>
          <w:rFonts w:eastAsia="Calibri"/>
          <w:szCs w:val="22"/>
          <w:lang w:bidi="ar-SA"/>
        </w:rPr>
        <w:t xml:space="preserve"> provided in the Application</w:t>
      </w:r>
      <w:r w:rsidR="00B018F9">
        <w:rPr>
          <w:rFonts w:eastAsia="Calibri"/>
          <w:szCs w:val="22"/>
          <w:lang w:bidi="ar-SA"/>
        </w:rPr>
        <w:t xml:space="preserve"> (Bornet </w:t>
      </w:r>
      <w:r w:rsidR="00F56007">
        <w:rPr>
          <w:rFonts w:eastAsia="Calibri"/>
          <w:szCs w:val="22"/>
          <w:lang w:bidi="ar-SA"/>
        </w:rPr>
        <w:t>and</w:t>
      </w:r>
      <w:r w:rsidR="00B018F9">
        <w:rPr>
          <w:rFonts w:eastAsia="Calibri"/>
          <w:szCs w:val="22"/>
          <w:lang w:bidi="ar-SA"/>
        </w:rPr>
        <w:t xml:space="preserve"> Teissedre </w:t>
      </w:r>
      <w:r w:rsidR="00B018F9" w:rsidRPr="00B018F9">
        <w:rPr>
          <w:rFonts w:eastAsia="Calibri"/>
          <w:szCs w:val="22"/>
          <w:lang w:bidi="ar-SA"/>
        </w:rPr>
        <w:t>2008)</w:t>
      </w:r>
      <w:r w:rsidRPr="008C0160">
        <w:rPr>
          <w:rFonts w:eastAsia="Calibri"/>
          <w:szCs w:val="22"/>
          <w:lang w:bidi="ar-SA"/>
        </w:rPr>
        <w:t>.</w:t>
      </w:r>
    </w:p>
    <w:p w14:paraId="51681D71" w14:textId="77777777" w:rsidR="005E6151" w:rsidRPr="008C0160" w:rsidRDefault="005E6151" w:rsidP="00DD760C">
      <w:pPr>
        <w:widowControl/>
        <w:tabs>
          <w:tab w:val="left" w:pos="1134"/>
        </w:tabs>
        <w:rPr>
          <w:rFonts w:eastAsia="Calibri"/>
          <w:szCs w:val="22"/>
          <w:lang w:bidi="ar-SA"/>
        </w:rPr>
      </w:pPr>
    </w:p>
    <w:p w14:paraId="223E4AA0" w14:textId="77777777" w:rsidR="002F5B61" w:rsidRPr="008C0160" w:rsidRDefault="002F5B61" w:rsidP="00DD760C">
      <w:pPr>
        <w:widowControl/>
        <w:tabs>
          <w:tab w:val="left" w:pos="1134"/>
        </w:tabs>
        <w:rPr>
          <w:rFonts w:eastAsia="Calibri"/>
          <w:szCs w:val="22"/>
          <w:lang w:bidi="ar-SA"/>
        </w:rPr>
      </w:pPr>
      <w:r w:rsidRPr="008C0160">
        <w:rPr>
          <w:rFonts w:eastAsia="Calibri"/>
          <w:szCs w:val="22"/>
          <w:lang w:bidi="ar-SA"/>
        </w:rPr>
        <w:t>Red, white and sweet wines were spiked with either:</w:t>
      </w:r>
    </w:p>
    <w:p w14:paraId="4AC1960B" w14:textId="77777777" w:rsidR="00FE354D" w:rsidRPr="008C0160" w:rsidRDefault="00FE354D" w:rsidP="00DD760C">
      <w:pPr>
        <w:widowControl/>
        <w:tabs>
          <w:tab w:val="left" w:pos="1134"/>
        </w:tabs>
        <w:rPr>
          <w:rFonts w:eastAsia="Calibri"/>
          <w:szCs w:val="22"/>
          <w:lang w:bidi="ar-SA"/>
        </w:rPr>
      </w:pPr>
    </w:p>
    <w:p w14:paraId="7FA60D7E" w14:textId="77777777" w:rsidR="002F5B61" w:rsidRPr="008C0160" w:rsidRDefault="002F5B61" w:rsidP="0017617B">
      <w:pPr>
        <w:pStyle w:val="FSBullet1"/>
        <w:rPr>
          <w:rFonts w:eastAsia="Calibri"/>
        </w:rPr>
      </w:pPr>
      <w:r w:rsidRPr="008C0160">
        <w:rPr>
          <w:rFonts w:eastAsia="Calibri"/>
        </w:rPr>
        <w:t>iron (20</w:t>
      </w:r>
      <w:r w:rsidR="006073F1">
        <w:rPr>
          <w:rFonts w:eastAsia="Calibri"/>
        </w:rPr>
        <w:t xml:space="preserve"> </w:t>
      </w:r>
      <w:r w:rsidRPr="008C0160">
        <w:rPr>
          <w:rFonts w:eastAsia="Calibri"/>
        </w:rPr>
        <w:t>mg/L)</w:t>
      </w:r>
    </w:p>
    <w:p w14:paraId="20609163" w14:textId="77777777" w:rsidR="002F5B61" w:rsidRPr="008C0160" w:rsidRDefault="002F5B61" w:rsidP="0017617B">
      <w:pPr>
        <w:pStyle w:val="FSBullet1"/>
        <w:rPr>
          <w:rFonts w:eastAsia="Calibri"/>
        </w:rPr>
      </w:pPr>
      <w:r w:rsidRPr="008C0160">
        <w:rPr>
          <w:rFonts w:eastAsia="Calibri"/>
        </w:rPr>
        <w:t>lead (500</w:t>
      </w:r>
      <w:r w:rsidR="006073F1">
        <w:rPr>
          <w:rFonts w:eastAsia="Calibri"/>
        </w:rPr>
        <w:t xml:space="preserve"> </w:t>
      </w:r>
      <w:r w:rsidRPr="0017617B">
        <w:rPr>
          <w:rFonts w:eastAsia="Calibri"/>
        </w:rPr>
        <w:t>µg</w:t>
      </w:r>
      <w:r w:rsidRPr="008C0160">
        <w:rPr>
          <w:rFonts w:eastAsia="Calibri"/>
        </w:rPr>
        <w:t>/L)</w:t>
      </w:r>
    </w:p>
    <w:p w14:paraId="33B64B1F" w14:textId="77777777" w:rsidR="002F5B61" w:rsidRPr="008C0160" w:rsidRDefault="002F5B61" w:rsidP="0017617B">
      <w:pPr>
        <w:pStyle w:val="FSBullet1"/>
        <w:rPr>
          <w:rFonts w:eastAsia="Calibri"/>
        </w:rPr>
      </w:pPr>
      <w:r w:rsidRPr="008C0160">
        <w:rPr>
          <w:rFonts w:eastAsia="Calibri"/>
        </w:rPr>
        <w:t>cadmium (20</w:t>
      </w:r>
      <w:r w:rsidR="006073F1">
        <w:rPr>
          <w:rFonts w:eastAsia="Calibri"/>
        </w:rPr>
        <w:t xml:space="preserve"> </w:t>
      </w:r>
      <w:r w:rsidRPr="008C0160">
        <w:rPr>
          <w:rFonts w:eastAsia="Calibri"/>
        </w:rPr>
        <w:t>µg/L)</w:t>
      </w:r>
    </w:p>
    <w:p w14:paraId="736CBB07" w14:textId="77777777" w:rsidR="002F5B61" w:rsidRPr="008C0160" w:rsidRDefault="002F5B61" w:rsidP="0017617B">
      <w:pPr>
        <w:pStyle w:val="FSBullet1"/>
        <w:rPr>
          <w:rFonts w:eastAsia="Calibri"/>
        </w:rPr>
      </w:pPr>
      <w:r w:rsidRPr="008C0160">
        <w:rPr>
          <w:rFonts w:eastAsia="Calibri"/>
        </w:rPr>
        <w:t xml:space="preserve">organic contaminant- </w:t>
      </w:r>
      <w:r w:rsidR="00C05D5D">
        <w:rPr>
          <w:rFonts w:eastAsia="Calibri"/>
        </w:rPr>
        <w:t>o</w:t>
      </w:r>
      <w:r w:rsidR="00A12AE3" w:rsidRPr="008C0160">
        <w:rPr>
          <w:rFonts w:eastAsia="Calibri"/>
        </w:rPr>
        <w:t xml:space="preserve">chratoxin </w:t>
      </w:r>
      <w:r w:rsidRPr="008C0160">
        <w:rPr>
          <w:rFonts w:eastAsia="Calibri"/>
        </w:rPr>
        <w:t>A (5</w:t>
      </w:r>
      <w:r w:rsidR="006073F1">
        <w:rPr>
          <w:rFonts w:eastAsia="Calibri"/>
        </w:rPr>
        <w:t xml:space="preserve"> </w:t>
      </w:r>
      <w:r w:rsidRPr="008C0160">
        <w:rPr>
          <w:rFonts w:eastAsia="Calibri"/>
        </w:rPr>
        <w:t xml:space="preserve">µg/L). </w:t>
      </w:r>
    </w:p>
    <w:p w14:paraId="2D4FE26C" w14:textId="77777777" w:rsidR="002F5B61" w:rsidRPr="008C0160" w:rsidRDefault="002F5B61" w:rsidP="002F5B61">
      <w:pPr>
        <w:widowControl/>
        <w:ind w:firstLine="567"/>
        <w:rPr>
          <w:rFonts w:eastAsia="Calibri"/>
          <w:szCs w:val="22"/>
          <w:lang w:bidi="ar-SA"/>
        </w:rPr>
      </w:pPr>
    </w:p>
    <w:p w14:paraId="6CAE0BD8" w14:textId="77777777" w:rsidR="002F5B61" w:rsidRPr="008C0160" w:rsidRDefault="002F5B61" w:rsidP="00DD760C">
      <w:pPr>
        <w:widowControl/>
        <w:tabs>
          <w:tab w:val="left" w:pos="1134"/>
        </w:tabs>
        <w:rPr>
          <w:rFonts w:eastAsia="Calibri"/>
          <w:szCs w:val="22"/>
          <w:lang w:bidi="ar-SA"/>
        </w:rPr>
      </w:pPr>
      <w:r w:rsidRPr="008C0160">
        <w:rPr>
          <w:rFonts w:eastAsia="Calibri"/>
          <w:szCs w:val="22"/>
          <w:lang w:bidi="ar-SA"/>
        </w:rPr>
        <w:t xml:space="preserve">The wines were then treated with </w:t>
      </w:r>
      <w:r w:rsidR="005C63B4" w:rsidRPr="008C0160">
        <w:rPr>
          <w:rFonts w:eastAsia="Calibri"/>
          <w:szCs w:val="22"/>
          <w:lang w:bidi="ar-SA"/>
        </w:rPr>
        <w:t>c</w:t>
      </w:r>
      <w:r w:rsidRPr="008C0160">
        <w:rPr>
          <w:rFonts w:eastAsia="Calibri"/>
          <w:szCs w:val="22"/>
          <w:lang w:bidi="ar-SA"/>
        </w:rPr>
        <w:t xml:space="preserve">hitin-glucan at </w:t>
      </w:r>
      <w:r w:rsidR="0068209E">
        <w:rPr>
          <w:rFonts w:eastAsia="Calibri"/>
          <w:szCs w:val="22"/>
          <w:lang w:bidi="ar-SA"/>
        </w:rPr>
        <w:t>concentrations</w:t>
      </w:r>
      <w:r w:rsidR="0068209E" w:rsidRPr="008C0160">
        <w:rPr>
          <w:rFonts w:eastAsia="Calibri"/>
          <w:szCs w:val="22"/>
          <w:lang w:bidi="ar-SA"/>
        </w:rPr>
        <w:t xml:space="preserve"> </w:t>
      </w:r>
      <w:r w:rsidRPr="008C0160">
        <w:rPr>
          <w:rFonts w:eastAsia="Calibri"/>
          <w:szCs w:val="22"/>
          <w:lang w:bidi="ar-SA"/>
        </w:rPr>
        <w:t>of 0.1</w:t>
      </w:r>
      <w:r w:rsidR="00FB05C7">
        <w:rPr>
          <w:rFonts w:eastAsia="Calibri"/>
          <w:szCs w:val="22"/>
          <w:lang w:bidi="ar-SA"/>
        </w:rPr>
        <w:t xml:space="preserve"> </w:t>
      </w:r>
      <w:r w:rsidRPr="008C0160">
        <w:rPr>
          <w:rFonts w:eastAsia="Calibri"/>
          <w:szCs w:val="22"/>
          <w:lang w:bidi="ar-SA"/>
        </w:rPr>
        <w:t>g/L, 0.5</w:t>
      </w:r>
      <w:r w:rsidR="00FB05C7">
        <w:rPr>
          <w:rFonts w:eastAsia="Calibri"/>
          <w:szCs w:val="22"/>
          <w:lang w:bidi="ar-SA"/>
        </w:rPr>
        <w:t xml:space="preserve"> </w:t>
      </w:r>
      <w:r w:rsidRPr="008C0160">
        <w:rPr>
          <w:rFonts w:eastAsia="Calibri"/>
          <w:szCs w:val="22"/>
          <w:lang w:bidi="ar-SA"/>
        </w:rPr>
        <w:t>g/L and 2</w:t>
      </w:r>
      <w:r w:rsidR="00FB05C7">
        <w:rPr>
          <w:rFonts w:eastAsia="Calibri"/>
          <w:szCs w:val="22"/>
          <w:lang w:bidi="ar-SA"/>
        </w:rPr>
        <w:t xml:space="preserve"> </w:t>
      </w:r>
      <w:r w:rsidRPr="008C0160">
        <w:rPr>
          <w:rFonts w:eastAsia="Calibri"/>
          <w:szCs w:val="22"/>
          <w:lang w:bidi="ar-SA"/>
        </w:rPr>
        <w:t xml:space="preserve">g/L. After 2 days, the levels of iron, lead and cadmium were measured. The average </w:t>
      </w:r>
      <w:r w:rsidR="000179A0" w:rsidRPr="008C0160">
        <w:rPr>
          <w:rFonts w:eastAsia="Calibri"/>
          <w:szCs w:val="22"/>
          <w:lang w:bidi="ar-SA"/>
        </w:rPr>
        <w:t xml:space="preserve">reduction of </w:t>
      </w:r>
      <w:r w:rsidR="00DC323C">
        <w:rPr>
          <w:rFonts w:eastAsia="Calibri"/>
          <w:szCs w:val="22"/>
          <w:lang w:bidi="ar-SA"/>
        </w:rPr>
        <w:t>metals</w:t>
      </w:r>
      <w:r w:rsidR="000179A0" w:rsidRPr="008C0160">
        <w:rPr>
          <w:rFonts w:eastAsia="Calibri"/>
          <w:szCs w:val="22"/>
          <w:lang w:bidi="ar-SA"/>
        </w:rPr>
        <w:t xml:space="preserve"> and </w:t>
      </w:r>
      <w:r w:rsidR="00342B97">
        <w:rPr>
          <w:rFonts w:eastAsia="Calibri"/>
          <w:szCs w:val="22"/>
          <w:lang w:bidi="ar-SA"/>
        </w:rPr>
        <w:t>o</w:t>
      </w:r>
      <w:r w:rsidR="000179A0" w:rsidRPr="008C0160">
        <w:rPr>
          <w:rFonts w:eastAsia="Calibri"/>
          <w:szCs w:val="22"/>
          <w:lang w:bidi="ar-SA"/>
        </w:rPr>
        <w:t>chratoxin A for each wine type is</w:t>
      </w:r>
      <w:r w:rsidRPr="008C0160">
        <w:rPr>
          <w:rFonts w:eastAsia="Calibri"/>
          <w:szCs w:val="22"/>
          <w:lang w:bidi="ar-SA"/>
        </w:rPr>
        <w:t xml:space="preserve"> shown in Table 1.</w:t>
      </w:r>
    </w:p>
    <w:p w14:paraId="6C0949AA" w14:textId="77777777" w:rsidR="002F5B61" w:rsidRPr="008C0160" w:rsidRDefault="002F5B61" w:rsidP="002F5B61">
      <w:pPr>
        <w:widowControl/>
        <w:rPr>
          <w:rFonts w:eastAsia="Calibri"/>
          <w:szCs w:val="22"/>
          <w:lang w:bidi="ar-SA"/>
        </w:rPr>
      </w:pPr>
    </w:p>
    <w:p w14:paraId="3B5BE3B0" w14:textId="77777777" w:rsidR="002F5B61" w:rsidRPr="0017617B" w:rsidRDefault="002F5B61" w:rsidP="002F5B61">
      <w:pPr>
        <w:widowControl/>
        <w:rPr>
          <w:rFonts w:eastAsia="Calibri"/>
          <w:b/>
          <w:szCs w:val="22"/>
          <w:lang w:bidi="ar-SA"/>
        </w:rPr>
      </w:pPr>
      <w:r w:rsidRPr="0017617B">
        <w:rPr>
          <w:rFonts w:eastAsia="Calibri"/>
          <w:b/>
          <w:szCs w:val="22"/>
          <w:lang w:bidi="ar-SA"/>
        </w:rPr>
        <w:t>Table 1</w:t>
      </w:r>
      <w:r w:rsidR="009B7EF8" w:rsidRPr="008C0160">
        <w:rPr>
          <w:rFonts w:eastAsia="Calibri"/>
          <w:b/>
          <w:szCs w:val="22"/>
          <w:lang w:bidi="ar-SA"/>
        </w:rPr>
        <w:t>:</w:t>
      </w:r>
      <w:r w:rsidRPr="0017617B">
        <w:rPr>
          <w:rFonts w:eastAsia="Calibri"/>
          <w:b/>
          <w:szCs w:val="22"/>
          <w:lang w:bidi="ar-SA"/>
        </w:rPr>
        <w:t xml:space="preserve"> Average percentage reduction of </w:t>
      </w:r>
      <w:r w:rsidR="00DC323C">
        <w:rPr>
          <w:rFonts w:eastAsia="Calibri"/>
          <w:b/>
          <w:szCs w:val="22"/>
          <w:lang w:bidi="ar-SA"/>
        </w:rPr>
        <w:t>metals</w:t>
      </w:r>
      <w:r w:rsidRPr="0017617B">
        <w:rPr>
          <w:rFonts w:eastAsia="Calibri"/>
          <w:b/>
          <w:szCs w:val="22"/>
          <w:lang w:bidi="ar-SA"/>
        </w:rPr>
        <w:t xml:space="preserve"> and </w:t>
      </w:r>
      <w:r w:rsidR="00342B97">
        <w:rPr>
          <w:rFonts w:eastAsia="Calibri"/>
          <w:b/>
          <w:szCs w:val="22"/>
          <w:lang w:bidi="ar-SA"/>
        </w:rPr>
        <w:t>o</w:t>
      </w:r>
      <w:r w:rsidRPr="0017617B">
        <w:rPr>
          <w:rFonts w:eastAsia="Calibri"/>
          <w:b/>
          <w:szCs w:val="22"/>
          <w:lang w:bidi="ar-SA"/>
        </w:rPr>
        <w:t xml:space="preserve">chratoxin A in various wine types when treated with </w:t>
      </w:r>
      <w:r w:rsidR="005C63B4" w:rsidRPr="0017617B">
        <w:rPr>
          <w:rFonts w:eastAsia="Calibri"/>
          <w:b/>
          <w:szCs w:val="22"/>
          <w:lang w:bidi="ar-SA"/>
        </w:rPr>
        <w:t>c</w:t>
      </w:r>
      <w:r w:rsidRPr="0017617B">
        <w:rPr>
          <w:rFonts w:eastAsia="Calibri"/>
          <w:b/>
          <w:szCs w:val="22"/>
          <w:lang w:bidi="ar-SA"/>
        </w:rPr>
        <w:t>hitin-glucan.</w:t>
      </w:r>
    </w:p>
    <w:p w14:paraId="4F3AA430" w14:textId="77777777" w:rsidR="002F5B61" w:rsidRPr="008C0160" w:rsidRDefault="002F5B61" w:rsidP="002F5B61">
      <w:pPr>
        <w:widowControl/>
        <w:rPr>
          <w:rFonts w:eastAsia="Calibri"/>
          <w:b/>
          <w:i/>
          <w:szCs w:val="22"/>
          <w:lang w:bidi="ar-SA"/>
        </w:rPr>
      </w:pPr>
    </w:p>
    <w:tbl>
      <w:tblPr>
        <w:tblStyle w:val="TableGrid1"/>
        <w:tblW w:w="0" w:type="auto"/>
        <w:tblLook w:val="04A0" w:firstRow="1" w:lastRow="0" w:firstColumn="1" w:lastColumn="0" w:noHBand="0" w:noVBand="1"/>
        <w:tblCaption w:val="Reduction of heavy metals in wine by chitin-glucan"/>
      </w:tblPr>
      <w:tblGrid>
        <w:gridCol w:w="1384"/>
        <w:gridCol w:w="1843"/>
        <w:gridCol w:w="2268"/>
        <w:gridCol w:w="1984"/>
        <w:gridCol w:w="1807"/>
      </w:tblGrid>
      <w:tr w:rsidR="002F5B61" w:rsidRPr="008C0160" w14:paraId="37315C2C" w14:textId="77777777" w:rsidTr="00984383">
        <w:trPr>
          <w:trHeight w:val="433"/>
          <w:tblHeader/>
        </w:trPr>
        <w:tc>
          <w:tcPr>
            <w:tcW w:w="1384" w:type="dxa"/>
            <w:vMerge w:val="restart"/>
            <w:shd w:val="clear" w:color="auto" w:fill="0276B7"/>
            <w:vAlign w:val="center"/>
          </w:tcPr>
          <w:p w14:paraId="17B9A9B2" w14:textId="77777777" w:rsidR="002F5B61" w:rsidRPr="0017617B" w:rsidRDefault="002F5B61" w:rsidP="002F5B61">
            <w:pPr>
              <w:widowControl/>
              <w:jc w:val="center"/>
              <w:rPr>
                <w:b/>
                <w:color w:val="FFFFFF"/>
                <w:sz w:val="20"/>
                <w:szCs w:val="22"/>
                <w:lang w:val="en-GB" w:bidi="ar-SA"/>
              </w:rPr>
            </w:pPr>
          </w:p>
          <w:p w14:paraId="48AFC67D" w14:textId="77777777" w:rsidR="002F5B61" w:rsidRPr="0017617B" w:rsidRDefault="002F5B61" w:rsidP="002F5B61">
            <w:pPr>
              <w:widowControl/>
              <w:jc w:val="center"/>
              <w:rPr>
                <w:b/>
                <w:color w:val="FFFFFF"/>
                <w:sz w:val="20"/>
                <w:szCs w:val="22"/>
                <w:lang w:val="en-GB" w:bidi="ar-SA"/>
              </w:rPr>
            </w:pPr>
            <w:r w:rsidRPr="0017617B">
              <w:rPr>
                <w:b/>
                <w:color w:val="FFFFFF"/>
                <w:sz w:val="20"/>
                <w:szCs w:val="22"/>
                <w:lang w:bidi="ar-SA"/>
              </w:rPr>
              <w:t>Wine type</w:t>
            </w:r>
          </w:p>
        </w:tc>
        <w:tc>
          <w:tcPr>
            <w:tcW w:w="7902" w:type="dxa"/>
            <w:gridSpan w:val="4"/>
            <w:shd w:val="clear" w:color="auto" w:fill="0276B7"/>
            <w:vAlign w:val="center"/>
          </w:tcPr>
          <w:p w14:paraId="1A5E856D" w14:textId="77777777" w:rsidR="002F5B61" w:rsidRPr="0017617B" w:rsidRDefault="002F5B61" w:rsidP="002F5B61">
            <w:pPr>
              <w:widowControl/>
              <w:jc w:val="center"/>
              <w:rPr>
                <w:b/>
                <w:color w:val="FFFFFF"/>
                <w:sz w:val="20"/>
                <w:szCs w:val="22"/>
                <w:lang w:val="en-GB" w:bidi="ar-SA"/>
              </w:rPr>
            </w:pPr>
            <w:r w:rsidRPr="0017617B">
              <w:rPr>
                <w:b/>
                <w:color w:val="FFFFFF"/>
                <w:sz w:val="20"/>
                <w:szCs w:val="22"/>
                <w:lang w:bidi="ar-SA"/>
              </w:rPr>
              <w:t>Average percentage reduction of contaminants in wines</w:t>
            </w:r>
          </w:p>
        </w:tc>
      </w:tr>
      <w:tr w:rsidR="002F5B61" w:rsidRPr="008C0160" w14:paraId="124498A2" w14:textId="77777777" w:rsidTr="00984383">
        <w:trPr>
          <w:trHeight w:val="433"/>
          <w:tblHeader/>
        </w:trPr>
        <w:tc>
          <w:tcPr>
            <w:tcW w:w="1384" w:type="dxa"/>
            <w:vMerge/>
            <w:shd w:val="clear" w:color="auto" w:fill="0276B7"/>
            <w:vAlign w:val="center"/>
          </w:tcPr>
          <w:p w14:paraId="7BA9D8F3" w14:textId="77777777" w:rsidR="002F5B61" w:rsidRPr="0017617B" w:rsidRDefault="002F5B61" w:rsidP="002F5B61">
            <w:pPr>
              <w:widowControl/>
              <w:jc w:val="center"/>
              <w:rPr>
                <w:b/>
                <w:color w:val="FFFFFF"/>
                <w:sz w:val="20"/>
                <w:szCs w:val="22"/>
                <w:lang w:val="en-GB" w:bidi="ar-SA"/>
              </w:rPr>
            </w:pPr>
          </w:p>
        </w:tc>
        <w:tc>
          <w:tcPr>
            <w:tcW w:w="1843" w:type="dxa"/>
            <w:shd w:val="clear" w:color="auto" w:fill="0276B7"/>
            <w:vAlign w:val="center"/>
          </w:tcPr>
          <w:p w14:paraId="3DF4E1BB" w14:textId="77777777" w:rsidR="002F5B61" w:rsidRPr="0017617B" w:rsidRDefault="002F5B61" w:rsidP="002F5B61">
            <w:pPr>
              <w:widowControl/>
              <w:jc w:val="center"/>
              <w:rPr>
                <w:b/>
                <w:color w:val="FFFFFF"/>
                <w:sz w:val="20"/>
                <w:szCs w:val="22"/>
                <w:lang w:val="en-GB" w:bidi="ar-SA"/>
              </w:rPr>
            </w:pPr>
            <w:r w:rsidRPr="0017617B">
              <w:rPr>
                <w:b/>
                <w:color w:val="FFFFFF"/>
                <w:sz w:val="20"/>
                <w:szCs w:val="22"/>
                <w:lang w:bidi="ar-SA"/>
              </w:rPr>
              <w:t xml:space="preserve">Iron </w:t>
            </w:r>
          </w:p>
        </w:tc>
        <w:tc>
          <w:tcPr>
            <w:tcW w:w="2268" w:type="dxa"/>
            <w:shd w:val="clear" w:color="auto" w:fill="0276B7"/>
            <w:vAlign w:val="center"/>
          </w:tcPr>
          <w:p w14:paraId="76849BB8" w14:textId="77777777" w:rsidR="002F5B61" w:rsidRPr="0017617B" w:rsidRDefault="002F5B61" w:rsidP="002F5B61">
            <w:pPr>
              <w:widowControl/>
              <w:jc w:val="center"/>
              <w:rPr>
                <w:b/>
                <w:color w:val="FFFFFF"/>
                <w:sz w:val="20"/>
                <w:szCs w:val="22"/>
                <w:lang w:val="en-GB" w:bidi="ar-SA"/>
              </w:rPr>
            </w:pPr>
            <w:r w:rsidRPr="0017617B">
              <w:rPr>
                <w:b/>
                <w:color w:val="FFFFFF"/>
                <w:sz w:val="20"/>
                <w:szCs w:val="22"/>
                <w:lang w:bidi="ar-SA"/>
              </w:rPr>
              <w:t xml:space="preserve">Cadmium </w:t>
            </w:r>
          </w:p>
        </w:tc>
        <w:tc>
          <w:tcPr>
            <w:tcW w:w="1984" w:type="dxa"/>
            <w:shd w:val="clear" w:color="auto" w:fill="0276B7"/>
            <w:vAlign w:val="center"/>
          </w:tcPr>
          <w:p w14:paraId="5856EB69" w14:textId="77777777" w:rsidR="002F5B61" w:rsidRPr="0017617B" w:rsidRDefault="002F5B61" w:rsidP="002F5B61">
            <w:pPr>
              <w:widowControl/>
              <w:jc w:val="center"/>
              <w:rPr>
                <w:b/>
                <w:color w:val="FFFFFF"/>
                <w:sz w:val="20"/>
                <w:szCs w:val="22"/>
                <w:lang w:val="en-GB" w:bidi="ar-SA"/>
              </w:rPr>
            </w:pPr>
            <w:r w:rsidRPr="0017617B">
              <w:rPr>
                <w:b/>
                <w:color w:val="FFFFFF"/>
                <w:sz w:val="20"/>
                <w:szCs w:val="22"/>
                <w:lang w:bidi="ar-SA"/>
              </w:rPr>
              <w:t xml:space="preserve">Lead </w:t>
            </w:r>
          </w:p>
        </w:tc>
        <w:tc>
          <w:tcPr>
            <w:tcW w:w="1807" w:type="dxa"/>
            <w:shd w:val="clear" w:color="auto" w:fill="0276B7"/>
            <w:vAlign w:val="center"/>
          </w:tcPr>
          <w:p w14:paraId="199207DE" w14:textId="77777777" w:rsidR="002F5B61" w:rsidRPr="0017617B" w:rsidRDefault="002F5B61" w:rsidP="002F5B61">
            <w:pPr>
              <w:widowControl/>
              <w:jc w:val="center"/>
              <w:rPr>
                <w:b/>
                <w:color w:val="FFFFFF"/>
                <w:sz w:val="20"/>
                <w:szCs w:val="22"/>
                <w:lang w:val="en-GB" w:bidi="ar-SA"/>
              </w:rPr>
            </w:pPr>
            <w:r w:rsidRPr="0017617B">
              <w:rPr>
                <w:b/>
                <w:color w:val="FFFFFF"/>
                <w:sz w:val="20"/>
                <w:szCs w:val="22"/>
                <w:lang w:bidi="ar-SA"/>
              </w:rPr>
              <w:t>Ochratoxin</w:t>
            </w:r>
            <w:r w:rsidR="006073F1">
              <w:rPr>
                <w:b/>
                <w:color w:val="FFFFFF"/>
                <w:sz w:val="20"/>
                <w:szCs w:val="22"/>
                <w:lang w:bidi="ar-SA"/>
              </w:rPr>
              <w:t xml:space="preserve"> A</w:t>
            </w:r>
            <w:r w:rsidRPr="0017617B">
              <w:rPr>
                <w:b/>
                <w:color w:val="FFFFFF"/>
                <w:sz w:val="20"/>
                <w:szCs w:val="22"/>
                <w:lang w:bidi="ar-SA"/>
              </w:rPr>
              <w:t xml:space="preserve"> </w:t>
            </w:r>
          </w:p>
        </w:tc>
      </w:tr>
      <w:tr w:rsidR="002F5B61" w:rsidRPr="008C0160" w14:paraId="3AF70284" w14:textId="77777777" w:rsidTr="004F5D46">
        <w:trPr>
          <w:trHeight w:val="336"/>
        </w:trPr>
        <w:tc>
          <w:tcPr>
            <w:tcW w:w="1384" w:type="dxa"/>
            <w:vAlign w:val="center"/>
          </w:tcPr>
          <w:p w14:paraId="6CA02F2E" w14:textId="77777777" w:rsidR="002F5B61" w:rsidRPr="0017617B" w:rsidRDefault="002F5B61" w:rsidP="002F5B61">
            <w:pPr>
              <w:widowControl/>
              <w:jc w:val="center"/>
              <w:rPr>
                <w:sz w:val="20"/>
                <w:szCs w:val="22"/>
                <w:lang w:val="en-GB" w:bidi="ar-SA"/>
              </w:rPr>
            </w:pPr>
            <w:r w:rsidRPr="0017617B">
              <w:rPr>
                <w:sz w:val="20"/>
                <w:szCs w:val="22"/>
                <w:lang w:bidi="ar-SA"/>
              </w:rPr>
              <w:t>Red</w:t>
            </w:r>
          </w:p>
        </w:tc>
        <w:tc>
          <w:tcPr>
            <w:tcW w:w="1843" w:type="dxa"/>
            <w:vAlign w:val="center"/>
          </w:tcPr>
          <w:p w14:paraId="583ED79E" w14:textId="77777777" w:rsidR="002F5B61" w:rsidRPr="0017617B" w:rsidRDefault="002F5B61" w:rsidP="002F5B61">
            <w:pPr>
              <w:widowControl/>
              <w:jc w:val="center"/>
              <w:rPr>
                <w:sz w:val="20"/>
                <w:szCs w:val="22"/>
                <w:lang w:val="en-GB" w:bidi="ar-SA"/>
              </w:rPr>
            </w:pPr>
            <w:r w:rsidRPr="0017617B">
              <w:rPr>
                <w:sz w:val="20"/>
                <w:szCs w:val="22"/>
                <w:lang w:bidi="ar-SA"/>
              </w:rPr>
              <w:t>81.5</w:t>
            </w:r>
          </w:p>
        </w:tc>
        <w:tc>
          <w:tcPr>
            <w:tcW w:w="2268" w:type="dxa"/>
            <w:vAlign w:val="center"/>
          </w:tcPr>
          <w:p w14:paraId="7DE2B56A" w14:textId="77777777" w:rsidR="002F5B61" w:rsidRPr="0017617B" w:rsidRDefault="002F5B61" w:rsidP="002F5B61">
            <w:pPr>
              <w:widowControl/>
              <w:jc w:val="center"/>
              <w:rPr>
                <w:sz w:val="20"/>
                <w:szCs w:val="22"/>
                <w:lang w:val="en-GB" w:bidi="ar-SA"/>
              </w:rPr>
            </w:pPr>
            <w:r w:rsidRPr="0017617B">
              <w:rPr>
                <w:sz w:val="20"/>
                <w:szCs w:val="22"/>
                <w:lang w:bidi="ar-SA"/>
              </w:rPr>
              <w:t>43.0</w:t>
            </w:r>
          </w:p>
        </w:tc>
        <w:tc>
          <w:tcPr>
            <w:tcW w:w="1984" w:type="dxa"/>
            <w:vAlign w:val="center"/>
          </w:tcPr>
          <w:p w14:paraId="7D56AEB9" w14:textId="77777777" w:rsidR="002F5B61" w:rsidRPr="0017617B" w:rsidRDefault="002F5B61" w:rsidP="002F5B61">
            <w:pPr>
              <w:widowControl/>
              <w:jc w:val="center"/>
              <w:rPr>
                <w:sz w:val="20"/>
                <w:szCs w:val="22"/>
                <w:lang w:val="en-GB" w:bidi="ar-SA"/>
              </w:rPr>
            </w:pPr>
            <w:r w:rsidRPr="0017617B">
              <w:rPr>
                <w:sz w:val="20"/>
                <w:szCs w:val="22"/>
                <w:lang w:bidi="ar-SA"/>
              </w:rPr>
              <w:t>53.5</w:t>
            </w:r>
          </w:p>
        </w:tc>
        <w:tc>
          <w:tcPr>
            <w:tcW w:w="1807" w:type="dxa"/>
            <w:vAlign w:val="center"/>
          </w:tcPr>
          <w:p w14:paraId="0179DBEF" w14:textId="77777777" w:rsidR="002F5B61" w:rsidRPr="0017617B" w:rsidRDefault="002F5B61" w:rsidP="002F5B61">
            <w:pPr>
              <w:widowControl/>
              <w:jc w:val="center"/>
              <w:rPr>
                <w:sz w:val="20"/>
                <w:szCs w:val="22"/>
                <w:lang w:val="en-GB" w:bidi="ar-SA"/>
              </w:rPr>
            </w:pPr>
            <w:r w:rsidRPr="0017617B">
              <w:rPr>
                <w:sz w:val="20"/>
                <w:szCs w:val="22"/>
                <w:lang w:bidi="ar-SA"/>
              </w:rPr>
              <w:t>70.0</w:t>
            </w:r>
          </w:p>
        </w:tc>
      </w:tr>
      <w:tr w:rsidR="002F5B61" w:rsidRPr="008C0160" w14:paraId="42E27984" w14:textId="77777777" w:rsidTr="004F5D46">
        <w:trPr>
          <w:trHeight w:val="327"/>
        </w:trPr>
        <w:tc>
          <w:tcPr>
            <w:tcW w:w="1384" w:type="dxa"/>
            <w:vAlign w:val="center"/>
          </w:tcPr>
          <w:p w14:paraId="31285F9E" w14:textId="77777777" w:rsidR="002F5B61" w:rsidRPr="0017617B" w:rsidRDefault="002F5B61" w:rsidP="002F5B61">
            <w:pPr>
              <w:widowControl/>
              <w:jc w:val="center"/>
              <w:rPr>
                <w:sz w:val="20"/>
                <w:szCs w:val="22"/>
                <w:lang w:val="en-GB" w:bidi="ar-SA"/>
              </w:rPr>
            </w:pPr>
            <w:r w:rsidRPr="0017617B">
              <w:rPr>
                <w:sz w:val="20"/>
                <w:szCs w:val="22"/>
                <w:lang w:bidi="ar-SA"/>
              </w:rPr>
              <w:t>White</w:t>
            </w:r>
          </w:p>
        </w:tc>
        <w:tc>
          <w:tcPr>
            <w:tcW w:w="1843" w:type="dxa"/>
            <w:vAlign w:val="center"/>
          </w:tcPr>
          <w:p w14:paraId="74E8F149" w14:textId="77777777" w:rsidR="002F5B61" w:rsidRPr="0017617B" w:rsidRDefault="002F5B61" w:rsidP="002F5B61">
            <w:pPr>
              <w:widowControl/>
              <w:jc w:val="center"/>
              <w:rPr>
                <w:sz w:val="20"/>
                <w:szCs w:val="22"/>
                <w:lang w:val="en-GB" w:bidi="ar-SA"/>
              </w:rPr>
            </w:pPr>
            <w:r w:rsidRPr="0017617B">
              <w:rPr>
                <w:sz w:val="20"/>
                <w:szCs w:val="22"/>
                <w:lang w:bidi="ar-SA"/>
              </w:rPr>
              <w:t>61.5</w:t>
            </w:r>
          </w:p>
        </w:tc>
        <w:tc>
          <w:tcPr>
            <w:tcW w:w="2268" w:type="dxa"/>
            <w:vAlign w:val="center"/>
          </w:tcPr>
          <w:p w14:paraId="277D62E6" w14:textId="77777777" w:rsidR="002F5B61" w:rsidRPr="0017617B" w:rsidRDefault="002F5B61" w:rsidP="002F5B61">
            <w:pPr>
              <w:widowControl/>
              <w:jc w:val="center"/>
              <w:rPr>
                <w:sz w:val="20"/>
                <w:szCs w:val="22"/>
                <w:lang w:val="en-GB" w:bidi="ar-SA"/>
              </w:rPr>
            </w:pPr>
            <w:r w:rsidRPr="0017617B">
              <w:rPr>
                <w:sz w:val="20"/>
                <w:szCs w:val="22"/>
                <w:lang w:bidi="ar-SA"/>
              </w:rPr>
              <w:t>12.0</w:t>
            </w:r>
          </w:p>
        </w:tc>
        <w:tc>
          <w:tcPr>
            <w:tcW w:w="1984" w:type="dxa"/>
            <w:vAlign w:val="center"/>
          </w:tcPr>
          <w:p w14:paraId="1047E241" w14:textId="77777777" w:rsidR="002F5B61" w:rsidRPr="0017617B" w:rsidRDefault="002F5B61" w:rsidP="002F5B61">
            <w:pPr>
              <w:widowControl/>
              <w:jc w:val="center"/>
              <w:rPr>
                <w:sz w:val="20"/>
                <w:szCs w:val="22"/>
                <w:lang w:val="en-GB" w:bidi="ar-SA"/>
              </w:rPr>
            </w:pPr>
            <w:r w:rsidRPr="0017617B">
              <w:rPr>
                <w:sz w:val="20"/>
                <w:szCs w:val="22"/>
                <w:lang w:bidi="ar-SA"/>
              </w:rPr>
              <w:t>57.5</w:t>
            </w:r>
          </w:p>
        </w:tc>
        <w:tc>
          <w:tcPr>
            <w:tcW w:w="1807" w:type="dxa"/>
            <w:vAlign w:val="center"/>
          </w:tcPr>
          <w:p w14:paraId="30BFA324" w14:textId="77777777" w:rsidR="002F5B61" w:rsidRPr="0017617B" w:rsidRDefault="002F5B61" w:rsidP="002F5B61">
            <w:pPr>
              <w:widowControl/>
              <w:jc w:val="center"/>
              <w:rPr>
                <w:sz w:val="20"/>
                <w:szCs w:val="22"/>
                <w:lang w:val="en-GB" w:bidi="ar-SA"/>
              </w:rPr>
            </w:pPr>
            <w:r w:rsidRPr="0017617B">
              <w:rPr>
                <w:sz w:val="20"/>
                <w:szCs w:val="22"/>
                <w:lang w:bidi="ar-SA"/>
              </w:rPr>
              <w:t>58.9</w:t>
            </w:r>
          </w:p>
        </w:tc>
      </w:tr>
      <w:tr w:rsidR="002F5B61" w:rsidRPr="008C0160" w14:paraId="4EBA839C" w14:textId="77777777" w:rsidTr="004F5D46">
        <w:trPr>
          <w:trHeight w:val="345"/>
        </w:trPr>
        <w:tc>
          <w:tcPr>
            <w:tcW w:w="1384" w:type="dxa"/>
            <w:vAlign w:val="center"/>
          </w:tcPr>
          <w:p w14:paraId="055C83D7" w14:textId="77777777" w:rsidR="002F5B61" w:rsidRPr="0017617B" w:rsidRDefault="002F5B61" w:rsidP="002F5B61">
            <w:pPr>
              <w:widowControl/>
              <w:jc w:val="center"/>
              <w:rPr>
                <w:sz w:val="20"/>
                <w:szCs w:val="22"/>
                <w:lang w:val="en-GB" w:bidi="ar-SA"/>
              </w:rPr>
            </w:pPr>
            <w:r w:rsidRPr="0017617B">
              <w:rPr>
                <w:sz w:val="20"/>
                <w:szCs w:val="22"/>
                <w:lang w:bidi="ar-SA"/>
              </w:rPr>
              <w:t>Sweet</w:t>
            </w:r>
          </w:p>
        </w:tc>
        <w:tc>
          <w:tcPr>
            <w:tcW w:w="1843" w:type="dxa"/>
            <w:vAlign w:val="center"/>
          </w:tcPr>
          <w:p w14:paraId="493A7C23" w14:textId="77777777" w:rsidR="002F5B61" w:rsidRPr="0017617B" w:rsidRDefault="002F5B61" w:rsidP="002F5B61">
            <w:pPr>
              <w:widowControl/>
              <w:jc w:val="center"/>
              <w:rPr>
                <w:sz w:val="20"/>
                <w:szCs w:val="22"/>
                <w:lang w:val="en-GB" w:bidi="ar-SA"/>
              </w:rPr>
            </w:pPr>
            <w:r w:rsidRPr="0017617B">
              <w:rPr>
                <w:sz w:val="20"/>
                <w:szCs w:val="22"/>
                <w:lang w:bidi="ar-SA"/>
              </w:rPr>
              <w:t>70.5</w:t>
            </w:r>
          </w:p>
        </w:tc>
        <w:tc>
          <w:tcPr>
            <w:tcW w:w="2268" w:type="dxa"/>
            <w:vAlign w:val="center"/>
          </w:tcPr>
          <w:p w14:paraId="63B92AEC" w14:textId="77777777" w:rsidR="002F5B61" w:rsidRPr="0017617B" w:rsidRDefault="002F5B61" w:rsidP="002F5B61">
            <w:pPr>
              <w:widowControl/>
              <w:jc w:val="center"/>
              <w:rPr>
                <w:sz w:val="20"/>
                <w:szCs w:val="22"/>
                <w:lang w:val="en-GB" w:bidi="ar-SA"/>
              </w:rPr>
            </w:pPr>
            <w:r w:rsidRPr="0017617B">
              <w:rPr>
                <w:sz w:val="20"/>
                <w:szCs w:val="22"/>
                <w:lang w:bidi="ar-SA"/>
              </w:rPr>
              <w:t>21.0</w:t>
            </w:r>
          </w:p>
        </w:tc>
        <w:tc>
          <w:tcPr>
            <w:tcW w:w="1984" w:type="dxa"/>
            <w:vAlign w:val="center"/>
          </w:tcPr>
          <w:p w14:paraId="51B08244" w14:textId="77777777" w:rsidR="002F5B61" w:rsidRPr="0017617B" w:rsidRDefault="002F5B61" w:rsidP="002F5B61">
            <w:pPr>
              <w:widowControl/>
              <w:jc w:val="center"/>
              <w:rPr>
                <w:sz w:val="20"/>
                <w:szCs w:val="22"/>
                <w:lang w:val="en-GB" w:bidi="ar-SA"/>
              </w:rPr>
            </w:pPr>
            <w:r w:rsidRPr="0017617B">
              <w:rPr>
                <w:sz w:val="20"/>
                <w:szCs w:val="22"/>
                <w:lang w:bidi="ar-SA"/>
              </w:rPr>
              <w:t>61.0</w:t>
            </w:r>
          </w:p>
        </w:tc>
        <w:tc>
          <w:tcPr>
            <w:tcW w:w="1807" w:type="dxa"/>
            <w:vAlign w:val="center"/>
          </w:tcPr>
          <w:p w14:paraId="7B823F12" w14:textId="77777777" w:rsidR="002F5B61" w:rsidRPr="0017617B" w:rsidRDefault="002F5B61" w:rsidP="002F5B61">
            <w:pPr>
              <w:widowControl/>
              <w:jc w:val="center"/>
              <w:rPr>
                <w:sz w:val="20"/>
                <w:szCs w:val="22"/>
                <w:lang w:val="en-GB" w:bidi="ar-SA"/>
              </w:rPr>
            </w:pPr>
            <w:r w:rsidRPr="0017617B">
              <w:rPr>
                <w:sz w:val="20"/>
                <w:szCs w:val="22"/>
                <w:lang w:bidi="ar-SA"/>
              </w:rPr>
              <w:t>34.8</w:t>
            </w:r>
          </w:p>
        </w:tc>
      </w:tr>
    </w:tbl>
    <w:p w14:paraId="6457CB11" w14:textId="77777777" w:rsidR="002F5B61" w:rsidRPr="008C0160" w:rsidRDefault="002F5B61" w:rsidP="002F5B61">
      <w:pPr>
        <w:widowControl/>
        <w:rPr>
          <w:rFonts w:eastAsia="Calibri"/>
          <w:szCs w:val="22"/>
          <w:lang w:bidi="ar-SA"/>
        </w:rPr>
      </w:pPr>
    </w:p>
    <w:p w14:paraId="17162B63" w14:textId="77777777" w:rsidR="002F5B61" w:rsidRPr="008C0160" w:rsidRDefault="002F5B61" w:rsidP="00DD760C">
      <w:pPr>
        <w:widowControl/>
        <w:tabs>
          <w:tab w:val="left" w:pos="1134"/>
        </w:tabs>
        <w:rPr>
          <w:rFonts w:eastAsia="Calibri"/>
          <w:szCs w:val="22"/>
          <w:lang w:bidi="ar-SA"/>
        </w:rPr>
      </w:pPr>
      <w:r w:rsidRPr="008C0160">
        <w:rPr>
          <w:rFonts w:eastAsia="Calibri"/>
          <w:szCs w:val="22"/>
          <w:lang w:bidi="ar-SA"/>
        </w:rPr>
        <w:t xml:space="preserve">The reduction of these </w:t>
      </w:r>
      <w:r w:rsidR="00DC323C">
        <w:rPr>
          <w:rFonts w:eastAsia="Calibri"/>
          <w:szCs w:val="22"/>
          <w:lang w:bidi="ar-SA"/>
        </w:rPr>
        <w:t>metals</w:t>
      </w:r>
      <w:r w:rsidRPr="008C0160">
        <w:rPr>
          <w:rFonts w:eastAsia="Calibri"/>
          <w:szCs w:val="22"/>
          <w:lang w:bidi="ar-SA"/>
        </w:rPr>
        <w:t xml:space="preserve"> and organic contaminants through the use of chitin-glucan also improves the visual clarity of wines.</w:t>
      </w:r>
    </w:p>
    <w:p w14:paraId="488B3122" w14:textId="77777777" w:rsidR="002F5B61" w:rsidRPr="008C0160" w:rsidRDefault="002F5B61" w:rsidP="002F5B61">
      <w:pPr>
        <w:widowControl/>
        <w:rPr>
          <w:rFonts w:eastAsia="Calibri"/>
          <w:szCs w:val="22"/>
          <w:lang w:bidi="ar-SA"/>
        </w:rPr>
      </w:pPr>
    </w:p>
    <w:p w14:paraId="1EE8B9B9" w14:textId="77777777" w:rsidR="002F5B61" w:rsidRPr="008C0160" w:rsidRDefault="00AF1D64" w:rsidP="00A33A38">
      <w:pPr>
        <w:pStyle w:val="Heading3"/>
      </w:pPr>
      <w:bookmarkStart w:id="29" w:name="_Toc472668674"/>
      <w:bookmarkStart w:id="30" w:name="_Toc478375785"/>
      <w:r w:rsidRPr="008C0160">
        <w:lastRenderedPageBreak/>
        <w:t>2.</w:t>
      </w:r>
      <w:r w:rsidR="009B7EF8" w:rsidRPr="008C0160">
        <w:t>3</w:t>
      </w:r>
      <w:r w:rsidR="009B7EF8" w:rsidRPr="008C0160">
        <w:tab/>
      </w:r>
      <w:r w:rsidR="002F5B61" w:rsidRPr="008C0160">
        <w:t>Chemical properties</w:t>
      </w:r>
      <w:bookmarkEnd w:id="29"/>
      <w:bookmarkEnd w:id="30"/>
    </w:p>
    <w:tbl>
      <w:tblPr>
        <w:tblStyle w:val="TableGrid1"/>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emical properties of chitin-glucan"/>
      </w:tblPr>
      <w:tblGrid>
        <w:gridCol w:w="3468"/>
        <w:gridCol w:w="5818"/>
      </w:tblGrid>
      <w:tr w:rsidR="002F5B61" w:rsidRPr="008C0160" w14:paraId="2661DD33" w14:textId="77777777" w:rsidTr="00984383">
        <w:trPr>
          <w:tblHeader/>
        </w:trPr>
        <w:tc>
          <w:tcPr>
            <w:tcW w:w="3468" w:type="dxa"/>
          </w:tcPr>
          <w:p w14:paraId="6129B5E9" w14:textId="77777777" w:rsidR="002F5B61" w:rsidRPr="0017617B" w:rsidRDefault="002F5B61" w:rsidP="002F5B61">
            <w:pPr>
              <w:keepNext/>
              <w:widowControl/>
              <w:spacing w:before="240" w:after="240"/>
              <w:ind w:left="851" w:hanging="851"/>
              <w:outlineLvl w:val="3"/>
              <w:rPr>
                <w:rFonts w:ascii="Calibri" w:hAnsi="Calibri" w:cs="Calibri"/>
                <w:color w:val="000000"/>
                <w:sz w:val="20"/>
                <w:szCs w:val="22"/>
                <w:lang w:val="en-GB" w:bidi="ar-SA"/>
              </w:rPr>
            </w:pPr>
            <w:r w:rsidRPr="0017617B">
              <w:rPr>
                <w:bCs/>
                <w:i/>
                <w:iCs/>
                <w:sz w:val="20"/>
                <w:szCs w:val="22"/>
                <w:lang w:bidi="ar-SA"/>
              </w:rPr>
              <w:t>Description</w:t>
            </w:r>
          </w:p>
        </w:tc>
        <w:tc>
          <w:tcPr>
            <w:tcW w:w="5818" w:type="dxa"/>
            <w:vAlign w:val="center"/>
          </w:tcPr>
          <w:p w14:paraId="1834A555" w14:textId="77777777" w:rsidR="002F5B61" w:rsidRPr="0017617B" w:rsidRDefault="002F5B61" w:rsidP="002F5B61">
            <w:pPr>
              <w:keepNext/>
              <w:widowControl/>
              <w:spacing w:before="240" w:after="240"/>
              <w:ind w:left="42"/>
              <w:outlineLvl w:val="3"/>
              <w:rPr>
                <w:color w:val="000000"/>
                <w:sz w:val="20"/>
                <w:szCs w:val="22"/>
                <w:lang w:val="en-GB" w:bidi="ar-SA"/>
              </w:rPr>
            </w:pPr>
            <w:r w:rsidRPr="00AB6B8B">
              <w:rPr>
                <w:color w:val="000000"/>
                <w:sz w:val="20"/>
                <w:szCs w:val="22"/>
                <w:lang w:bidi="ar-SA"/>
              </w:rPr>
              <w:t xml:space="preserve">Chitin-glucan, the main component in the cell walls of the mycelium of </w:t>
            </w:r>
            <w:r w:rsidRPr="00AB6B8B">
              <w:rPr>
                <w:i/>
                <w:color w:val="000000"/>
                <w:sz w:val="20"/>
                <w:szCs w:val="22"/>
                <w:lang w:bidi="ar-SA"/>
              </w:rPr>
              <w:t>A. niger</w:t>
            </w:r>
            <w:r w:rsidRPr="00AB6B8B">
              <w:rPr>
                <w:color w:val="000000"/>
                <w:sz w:val="20"/>
                <w:szCs w:val="22"/>
                <w:lang w:bidi="ar-SA"/>
              </w:rPr>
              <w:t xml:space="preserve"> is a purified ingredient in powder form, composed largely of two polysaccharides linked covalently to form a three-dimensional network: </w:t>
            </w:r>
          </w:p>
          <w:p w14:paraId="36B760C2" w14:textId="77777777" w:rsidR="002F5B61" w:rsidRPr="0017617B" w:rsidRDefault="002F5B61" w:rsidP="00537E6A">
            <w:pPr>
              <w:keepNext/>
              <w:widowControl/>
              <w:numPr>
                <w:ilvl w:val="0"/>
                <w:numId w:val="6"/>
              </w:numPr>
              <w:spacing w:before="240" w:after="240"/>
              <w:outlineLvl w:val="3"/>
              <w:rPr>
                <w:b/>
                <w:bCs/>
                <w:i/>
                <w:iCs/>
                <w:color w:val="000000"/>
                <w:sz w:val="20"/>
                <w:szCs w:val="22"/>
                <w:lang w:val="en-GB" w:bidi="ar-SA"/>
              </w:rPr>
            </w:pPr>
            <w:r w:rsidRPr="00AB6B8B">
              <w:rPr>
                <w:color w:val="000000"/>
                <w:sz w:val="20"/>
                <w:szCs w:val="22"/>
                <w:lang w:bidi="ar-SA"/>
              </w:rPr>
              <w:t>chitin, composed of repeating units of N-acetyl-D-glucosamine</w:t>
            </w:r>
          </w:p>
          <w:p w14:paraId="3407B2C4" w14:textId="77777777" w:rsidR="002F5B61" w:rsidRPr="0017617B" w:rsidRDefault="002F5B61" w:rsidP="00537E6A">
            <w:pPr>
              <w:keepNext/>
              <w:widowControl/>
              <w:numPr>
                <w:ilvl w:val="0"/>
                <w:numId w:val="6"/>
              </w:numPr>
              <w:spacing w:before="240" w:after="240"/>
              <w:outlineLvl w:val="3"/>
              <w:rPr>
                <w:b/>
                <w:bCs/>
                <w:i/>
                <w:iCs/>
                <w:color w:val="000000"/>
                <w:sz w:val="20"/>
                <w:szCs w:val="22"/>
                <w:lang w:val="en-GB" w:bidi="ar-SA"/>
              </w:rPr>
            </w:pPr>
            <w:r w:rsidRPr="00AB6B8B">
              <w:rPr>
                <w:color w:val="000000"/>
                <w:sz w:val="20"/>
                <w:szCs w:val="22"/>
                <w:lang w:bidi="ar-SA"/>
              </w:rPr>
              <w:t>Beta (1,3) glucan, composed of repeating units of D-glucose</w:t>
            </w:r>
          </w:p>
        </w:tc>
      </w:tr>
      <w:tr w:rsidR="002F5B61" w:rsidRPr="008C0160" w14:paraId="3447D300" w14:textId="77777777" w:rsidTr="004F5D46">
        <w:tc>
          <w:tcPr>
            <w:tcW w:w="3468" w:type="dxa"/>
          </w:tcPr>
          <w:p w14:paraId="136FB8C2" w14:textId="77777777" w:rsidR="002F5B61" w:rsidRPr="0017617B" w:rsidRDefault="002F5B61" w:rsidP="002F5B61">
            <w:pPr>
              <w:keepNext/>
              <w:widowControl/>
              <w:spacing w:before="240" w:after="240"/>
              <w:ind w:left="851" w:hanging="851"/>
              <w:outlineLvl w:val="3"/>
              <w:rPr>
                <w:bCs/>
                <w:i/>
                <w:iCs/>
                <w:sz w:val="20"/>
                <w:szCs w:val="22"/>
                <w:lang w:val="en-GB" w:bidi="ar-SA"/>
              </w:rPr>
            </w:pPr>
            <w:r w:rsidRPr="0017617B">
              <w:rPr>
                <w:bCs/>
                <w:i/>
                <w:iCs/>
                <w:sz w:val="20"/>
                <w:szCs w:val="22"/>
                <w:lang w:bidi="ar-SA"/>
              </w:rPr>
              <w:t>Chemical name:</w:t>
            </w:r>
          </w:p>
        </w:tc>
        <w:tc>
          <w:tcPr>
            <w:tcW w:w="5818" w:type="dxa"/>
            <w:vAlign w:val="center"/>
          </w:tcPr>
          <w:p w14:paraId="400FAC0A" w14:textId="77777777" w:rsidR="002F5B61" w:rsidRPr="0017617B" w:rsidRDefault="000179A0" w:rsidP="002F5B61">
            <w:pPr>
              <w:widowControl/>
              <w:autoSpaceDE w:val="0"/>
              <w:autoSpaceDN w:val="0"/>
              <w:adjustRightInd w:val="0"/>
              <w:rPr>
                <w:color w:val="000000"/>
                <w:sz w:val="20"/>
                <w:szCs w:val="22"/>
                <w:lang w:val="en-GB" w:bidi="ar-SA"/>
              </w:rPr>
            </w:pPr>
            <w:r w:rsidRPr="00AB6B8B">
              <w:rPr>
                <w:color w:val="000000"/>
                <w:sz w:val="20"/>
                <w:szCs w:val="22"/>
                <w:lang w:bidi="ar-SA"/>
              </w:rPr>
              <w:t>Chitin</w:t>
            </w:r>
            <w:r w:rsidR="002F5B61" w:rsidRPr="00AB6B8B">
              <w:rPr>
                <w:color w:val="000000"/>
                <w:sz w:val="20"/>
                <w:szCs w:val="22"/>
                <w:lang w:bidi="ar-SA"/>
              </w:rPr>
              <w:t xml:space="preserve">-glucan </w:t>
            </w:r>
          </w:p>
        </w:tc>
      </w:tr>
      <w:tr w:rsidR="002F5B61" w:rsidRPr="008C0160" w14:paraId="2C3F9846" w14:textId="77777777" w:rsidTr="004F5D46">
        <w:trPr>
          <w:trHeight w:val="604"/>
        </w:trPr>
        <w:tc>
          <w:tcPr>
            <w:tcW w:w="3468" w:type="dxa"/>
          </w:tcPr>
          <w:p w14:paraId="427678E6" w14:textId="77777777" w:rsidR="002F5B61" w:rsidRPr="0017617B" w:rsidRDefault="002F5B61" w:rsidP="002F5B61">
            <w:pPr>
              <w:keepNext/>
              <w:widowControl/>
              <w:spacing w:before="240" w:after="240"/>
              <w:outlineLvl w:val="3"/>
              <w:rPr>
                <w:bCs/>
                <w:i/>
                <w:iCs/>
                <w:sz w:val="20"/>
                <w:szCs w:val="22"/>
                <w:lang w:val="en-GB" w:bidi="ar-SA"/>
              </w:rPr>
            </w:pPr>
            <w:r w:rsidRPr="0017617B">
              <w:rPr>
                <w:bCs/>
                <w:i/>
                <w:iCs/>
                <w:sz w:val="20"/>
                <w:szCs w:val="22"/>
                <w:lang w:bidi="ar-SA"/>
              </w:rPr>
              <w:t>Common names:</w:t>
            </w:r>
          </w:p>
        </w:tc>
        <w:tc>
          <w:tcPr>
            <w:tcW w:w="5818" w:type="dxa"/>
          </w:tcPr>
          <w:p w14:paraId="5608D77C" w14:textId="77777777" w:rsidR="002F5B61" w:rsidRPr="0017617B" w:rsidRDefault="002F5B61" w:rsidP="002F5B61">
            <w:pPr>
              <w:keepNext/>
              <w:widowControl/>
              <w:spacing w:before="240" w:after="240"/>
              <w:outlineLvl w:val="3"/>
              <w:rPr>
                <w:bCs/>
                <w:iCs/>
                <w:sz w:val="20"/>
                <w:szCs w:val="22"/>
                <w:lang w:val="en-GB" w:bidi="ar-SA"/>
              </w:rPr>
            </w:pPr>
            <w:r w:rsidRPr="00AB6B8B">
              <w:rPr>
                <w:color w:val="000000"/>
                <w:sz w:val="20"/>
                <w:szCs w:val="22"/>
                <w:lang w:bidi="ar-SA"/>
              </w:rPr>
              <w:t>Poly(N-acetyl-D-glucosamine)-poly(D-glucose) and 1,3-ß-glucan</w:t>
            </w:r>
          </w:p>
        </w:tc>
      </w:tr>
      <w:tr w:rsidR="002F5B61" w:rsidRPr="008C0160" w14:paraId="3F2FBCDF" w14:textId="77777777" w:rsidTr="004F5D46">
        <w:tc>
          <w:tcPr>
            <w:tcW w:w="3468" w:type="dxa"/>
          </w:tcPr>
          <w:p w14:paraId="1EC1824F" w14:textId="77777777" w:rsidR="002F5B61" w:rsidRPr="0017617B" w:rsidRDefault="002F5B61" w:rsidP="002F5B61">
            <w:pPr>
              <w:keepNext/>
              <w:widowControl/>
              <w:spacing w:before="240" w:after="240"/>
              <w:outlineLvl w:val="3"/>
              <w:rPr>
                <w:bCs/>
                <w:i/>
                <w:iCs/>
                <w:sz w:val="20"/>
                <w:szCs w:val="22"/>
                <w:lang w:val="en-GB" w:bidi="ar-SA"/>
              </w:rPr>
            </w:pPr>
            <w:r w:rsidRPr="0017617B">
              <w:rPr>
                <w:bCs/>
                <w:i/>
                <w:iCs/>
                <w:sz w:val="20"/>
                <w:szCs w:val="22"/>
                <w:lang w:bidi="ar-SA"/>
              </w:rPr>
              <w:t>CAS registry numbers:</w:t>
            </w:r>
          </w:p>
        </w:tc>
        <w:tc>
          <w:tcPr>
            <w:tcW w:w="5818" w:type="dxa"/>
          </w:tcPr>
          <w:p w14:paraId="00B0D21E" w14:textId="77777777" w:rsidR="002F5B61" w:rsidRPr="0017617B" w:rsidRDefault="002F5B61" w:rsidP="002F5B61">
            <w:pPr>
              <w:keepNext/>
              <w:widowControl/>
              <w:spacing w:before="240" w:after="240"/>
              <w:outlineLvl w:val="3"/>
              <w:rPr>
                <w:color w:val="000000"/>
                <w:sz w:val="20"/>
                <w:szCs w:val="22"/>
                <w:lang w:val="en-GB" w:bidi="ar-SA"/>
              </w:rPr>
            </w:pPr>
            <w:r w:rsidRPr="00AB6B8B">
              <w:rPr>
                <w:color w:val="000000"/>
                <w:sz w:val="20"/>
                <w:szCs w:val="22"/>
                <w:lang w:bidi="ar-SA"/>
              </w:rPr>
              <w:t>Chitin (1398-61-4)</w:t>
            </w:r>
          </w:p>
          <w:p w14:paraId="1A796BF8" w14:textId="77777777" w:rsidR="002F5B61" w:rsidRPr="0017617B" w:rsidRDefault="002F5B61" w:rsidP="002F5B61">
            <w:pPr>
              <w:keepNext/>
              <w:widowControl/>
              <w:spacing w:before="240" w:after="240"/>
              <w:outlineLvl w:val="3"/>
              <w:rPr>
                <w:color w:val="000000"/>
                <w:sz w:val="20"/>
                <w:szCs w:val="22"/>
                <w:lang w:val="en-GB" w:bidi="ar-SA"/>
              </w:rPr>
            </w:pPr>
            <w:r w:rsidRPr="00AB6B8B">
              <w:rPr>
                <w:color w:val="000000"/>
                <w:sz w:val="20"/>
                <w:szCs w:val="22"/>
                <w:lang w:bidi="ar-SA"/>
              </w:rPr>
              <w:t>Beta (1,3) glucan (9041-22-9)</w:t>
            </w:r>
          </w:p>
        </w:tc>
      </w:tr>
      <w:tr w:rsidR="002F5B61" w:rsidRPr="008C0160" w14:paraId="4E2C498B" w14:textId="77777777" w:rsidTr="004F5D46">
        <w:tc>
          <w:tcPr>
            <w:tcW w:w="3468" w:type="dxa"/>
          </w:tcPr>
          <w:p w14:paraId="256D89B2" w14:textId="77777777" w:rsidR="002F5B61" w:rsidRPr="0017617B" w:rsidRDefault="002F5B61" w:rsidP="002F5B61">
            <w:pPr>
              <w:keepNext/>
              <w:widowControl/>
              <w:spacing w:before="240" w:after="240"/>
              <w:outlineLvl w:val="3"/>
              <w:rPr>
                <w:bCs/>
                <w:i/>
                <w:iCs/>
                <w:sz w:val="20"/>
                <w:szCs w:val="22"/>
                <w:lang w:val="en-GB" w:bidi="ar-SA"/>
              </w:rPr>
            </w:pPr>
            <w:r w:rsidRPr="0017617B">
              <w:rPr>
                <w:bCs/>
                <w:i/>
                <w:iCs/>
                <w:sz w:val="20"/>
                <w:szCs w:val="22"/>
                <w:lang w:bidi="ar-SA"/>
              </w:rPr>
              <w:t>Chemical formula:</w:t>
            </w:r>
          </w:p>
        </w:tc>
        <w:tc>
          <w:tcPr>
            <w:tcW w:w="5818" w:type="dxa"/>
          </w:tcPr>
          <w:p w14:paraId="7648492D" w14:textId="77777777" w:rsidR="002F5B61" w:rsidRPr="0017617B" w:rsidRDefault="002F5B61" w:rsidP="002F5B61">
            <w:pPr>
              <w:keepNext/>
              <w:widowControl/>
              <w:spacing w:before="240" w:after="240"/>
              <w:outlineLvl w:val="3"/>
              <w:rPr>
                <w:color w:val="000000"/>
                <w:sz w:val="20"/>
                <w:szCs w:val="22"/>
                <w:lang w:val="en-GB" w:bidi="ar-SA"/>
              </w:rPr>
            </w:pPr>
            <w:r w:rsidRPr="00AB6B8B">
              <w:rPr>
                <w:color w:val="000000"/>
                <w:sz w:val="20"/>
                <w:szCs w:val="22"/>
                <w:lang w:bidi="ar-SA"/>
              </w:rPr>
              <w:t>[C</w:t>
            </w:r>
            <w:r w:rsidRPr="00FB1B3B">
              <w:rPr>
                <w:color w:val="000000"/>
                <w:sz w:val="20"/>
                <w:szCs w:val="22"/>
                <w:vertAlign w:val="subscript"/>
                <w:lang w:bidi="ar-SA"/>
              </w:rPr>
              <w:t>6</w:t>
            </w:r>
            <w:r w:rsidRPr="00AB6B8B">
              <w:rPr>
                <w:color w:val="000000"/>
                <w:sz w:val="20"/>
                <w:szCs w:val="22"/>
                <w:lang w:bidi="ar-SA"/>
              </w:rPr>
              <w:t>H</w:t>
            </w:r>
            <w:r w:rsidRPr="00FB1B3B">
              <w:rPr>
                <w:color w:val="000000"/>
                <w:sz w:val="20"/>
                <w:szCs w:val="22"/>
                <w:vertAlign w:val="subscript"/>
                <w:lang w:bidi="ar-SA"/>
              </w:rPr>
              <w:t>10</w:t>
            </w:r>
            <w:r w:rsidRPr="00AB6B8B">
              <w:rPr>
                <w:color w:val="000000"/>
                <w:sz w:val="20"/>
                <w:szCs w:val="22"/>
                <w:lang w:bidi="ar-SA"/>
              </w:rPr>
              <w:t>O</w:t>
            </w:r>
            <w:r w:rsidRPr="00FB1B3B">
              <w:rPr>
                <w:color w:val="000000"/>
                <w:sz w:val="20"/>
                <w:szCs w:val="22"/>
                <w:vertAlign w:val="subscript"/>
                <w:lang w:bidi="ar-SA"/>
              </w:rPr>
              <w:t>5</w:t>
            </w:r>
            <w:r w:rsidRPr="00AB6B8B">
              <w:rPr>
                <w:color w:val="000000"/>
                <w:sz w:val="20"/>
                <w:szCs w:val="22"/>
                <w:lang w:bidi="ar-SA"/>
              </w:rPr>
              <w:t>]</w:t>
            </w:r>
            <w:r w:rsidRPr="00FB1B3B">
              <w:rPr>
                <w:color w:val="000000"/>
                <w:sz w:val="20"/>
                <w:szCs w:val="22"/>
                <w:vertAlign w:val="subscript"/>
                <w:lang w:bidi="ar-SA"/>
              </w:rPr>
              <w:t>m</w:t>
            </w:r>
            <w:r w:rsidRPr="00AB6B8B">
              <w:rPr>
                <w:color w:val="000000"/>
                <w:sz w:val="20"/>
                <w:szCs w:val="22"/>
                <w:lang w:bidi="ar-SA"/>
              </w:rPr>
              <w:t xml:space="preserve"> - [C</w:t>
            </w:r>
            <w:r w:rsidRPr="00FB1B3B">
              <w:rPr>
                <w:color w:val="000000"/>
                <w:sz w:val="20"/>
                <w:szCs w:val="22"/>
                <w:vertAlign w:val="subscript"/>
                <w:lang w:bidi="ar-SA"/>
              </w:rPr>
              <w:t>8</w:t>
            </w:r>
            <w:r w:rsidRPr="00AB6B8B">
              <w:rPr>
                <w:color w:val="000000"/>
                <w:sz w:val="20"/>
                <w:szCs w:val="22"/>
                <w:lang w:bidi="ar-SA"/>
              </w:rPr>
              <w:t>H</w:t>
            </w:r>
            <w:r w:rsidRPr="00FB1B3B">
              <w:rPr>
                <w:color w:val="000000"/>
                <w:sz w:val="20"/>
                <w:szCs w:val="22"/>
                <w:vertAlign w:val="subscript"/>
                <w:lang w:bidi="ar-SA"/>
              </w:rPr>
              <w:t>13</w:t>
            </w:r>
            <w:r w:rsidRPr="00AB6B8B">
              <w:rPr>
                <w:color w:val="000000"/>
                <w:sz w:val="20"/>
                <w:szCs w:val="22"/>
                <w:lang w:bidi="ar-SA"/>
              </w:rPr>
              <w:t>NO</w:t>
            </w:r>
            <w:r w:rsidRPr="00FB1B3B">
              <w:rPr>
                <w:color w:val="000000"/>
                <w:sz w:val="20"/>
                <w:szCs w:val="22"/>
                <w:vertAlign w:val="subscript"/>
                <w:lang w:bidi="ar-SA"/>
              </w:rPr>
              <w:t>5</w:t>
            </w:r>
            <w:r w:rsidRPr="00AB6B8B">
              <w:rPr>
                <w:color w:val="000000"/>
                <w:sz w:val="20"/>
                <w:szCs w:val="22"/>
                <w:lang w:bidi="ar-SA"/>
              </w:rPr>
              <w:t>]</w:t>
            </w:r>
            <w:r w:rsidRPr="00FB1B3B">
              <w:rPr>
                <w:color w:val="000000"/>
                <w:sz w:val="20"/>
                <w:szCs w:val="22"/>
                <w:vertAlign w:val="subscript"/>
                <w:lang w:bidi="ar-SA"/>
              </w:rPr>
              <w:t>n</w:t>
            </w:r>
            <w:r w:rsidRPr="00AB6B8B">
              <w:rPr>
                <w:color w:val="000000"/>
                <w:sz w:val="20"/>
                <w:szCs w:val="22"/>
                <w:lang w:bidi="ar-SA"/>
              </w:rPr>
              <w:t xml:space="preserve"> </w:t>
            </w:r>
          </w:p>
        </w:tc>
      </w:tr>
      <w:tr w:rsidR="002F5B61" w:rsidRPr="008C0160" w14:paraId="5C80E319" w14:textId="77777777" w:rsidTr="004F5D46">
        <w:trPr>
          <w:trHeight w:val="715"/>
        </w:trPr>
        <w:tc>
          <w:tcPr>
            <w:tcW w:w="3468" w:type="dxa"/>
          </w:tcPr>
          <w:p w14:paraId="140E3FA0" w14:textId="77777777" w:rsidR="002F5B61" w:rsidRPr="0017617B" w:rsidRDefault="002F5B61" w:rsidP="002F5B61">
            <w:pPr>
              <w:keepNext/>
              <w:widowControl/>
              <w:spacing w:before="240" w:after="240"/>
              <w:outlineLvl w:val="3"/>
              <w:rPr>
                <w:bCs/>
                <w:i/>
                <w:iCs/>
                <w:sz w:val="20"/>
                <w:szCs w:val="22"/>
                <w:lang w:val="en-GB" w:bidi="ar-SA"/>
              </w:rPr>
            </w:pPr>
            <w:r w:rsidRPr="0017617B">
              <w:rPr>
                <w:bCs/>
                <w:i/>
                <w:iCs/>
                <w:sz w:val="20"/>
                <w:szCs w:val="22"/>
                <w:lang w:bidi="ar-SA"/>
              </w:rPr>
              <w:t>Structural formulas:</w:t>
            </w:r>
          </w:p>
          <w:p w14:paraId="01ABA6B5" w14:textId="77777777" w:rsidR="002F5B61" w:rsidRPr="0017617B" w:rsidRDefault="002F5B61" w:rsidP="002F5B61">
            <w:pPr>
              <w:widowControl/>
              <w:rPr>
                <w:sz w:val="20"/>
                <w:szCs w:val="22"/>
                <w:lang w:val="en-GB" w:bidi="ar-SA"/>
              </w:rPr>
            </w:pPr>
          </w:p>
          <w:p w14:paraId="31272F78" w14:textId="77777777" w:rsidR="002F5B61" w:rsidRPr="0017617B" w:rsidRDefault="002F5B61" w:rsidP="002F5B61">
            <w:pPr>
              <w:widowControl/>
              <w:rPr>
                <w:sz w:val="20"/>
                <w:szCs w:val="22"/>
                <w:lang w:val="en-GB" w:bidi="ar-SA"/>
              </w:rPr>
            </w:pPr>
          </w:p>
          <w:p w14:paraId="4754CD89" w14:textId="77777777" w:rsidR="002F5B61" w:rsidRPr="0017617B" w:rsidRDefault="002F5B61" w:rsidP="002F5B61">
            <w:pPr>
              <w:widowControl/>
              <w:jc w:val="right"/>
              <w:rPr>
                <w:bCs/>
                <w:iCs/>
                <w:sz w:val="20"/>
                <w:szCs w:val="22"/>
                <w:lang w:val="en-GB" w:bidi="ar-SA"/>
              </w:rPr>
            </w:pPr>
            <w:r w:rsidRPr="0017617B">
              <w:rPr>
                <w:bCs/>
                <w:iCs/>
                <w:sz w:val="20"/>
                <w:szCs w:val="22"/>
                <w:lang w:bidi="ar-SA"/>
              </w:rPr>
              <w:t>Chitin</w:t>
            </w:r>
          </w:p>
          <w:p w14:paraId="1B5DE16E" w14:textId="77777777" w:rsidR="002F5B61" w:rsidRPr="0017617B" w:rsidRDefault="002F5B61" w:rsidP="002F5B61">
            <w:pPr>
              <w:widowControl/>
              <w:rPr>
                <w:sz w:val="20"/>
                <w:szCs w:val="22"/>
                <w:lang w:val="en-GB" w:bidi="ar-SA"/>
              </w:rPr>
            </w:pPr>
          </w:p>
        </w:tc>
        <w:tc>
          <w:tcPr>
            <w:tcW w:w="5818" w:type="dxa"/>
          </w:tcPr>
          <w:p w14:paraId="7B9DF892" w14:textId="77777777" w:rsidR="002F5B61" w:rsidRPr="0017617B" w:rsidRDefault="002F5B61" w:rsidP="002F5B61">
            <w:pPr>
              <w:keepNext/>
              <w:widowControl/>
              <w:spacing w:before="240" w:after="240"/>
              <w:outlineLvl w:val="3"/>
              <w:rPr>
                <w:bCs/>
                <w:iCs/>
                <w:sz w:val="20"/>
                <w:szCs w:val="22"/>
                <w:lang w:val="en-GB" w:bidi="ar-SA"/>
              </w:rPr>
            </w:pPr>
            <w:r w:rsidRPr="009F4510">
              <w:rPr>
                <w:i/>
                <w:noProof/>
                <w:sz w:val="20"/>
                <w:szCs w:val="22"/>
                <w:lang w:eastAsia="en-GB" w:bidi="ar-SA"/>
              </w:rPr>
              <w:drawing>
                <wp:inline distT="0" distB="0" distL="0" distR="0" wp14:anchorId="10F3169C" wp14:editId="1886E497">
                  <wp:extent cx="2932981" cy="1281954"/>
                  <wp:effectExtent l="0" t="0" r="1270" b="0"/>
                  <wp:docPr id="2" name="Picture 2" title="Structural formula for chi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l="22185" t="52347" r="25165" b="14567"/>
                          <a:stretch/>
                        </pic:blipFill>
                        <pic:spPr bwMode="auto">
                          <a:xfrm>
                            <a:off x="0" y="0"/>
                            <a:ext cx="2932981" cy="1281954"/>
                          </a:xfrm>
                          <a:prstGeom prst="rect">
                            <a:avLst/>
                          </a:prstGeom>
                          <a:noFill/>
                          <a:ln>
                            <a:noFill/>
                          </a:ln>
                          <a:extLst>
                            <a:ext uri="{53640926-AAD7-44D8-BBD7-CCE9431645EC}">
                              <a14:shadowObscured xmlns:a14="http://schemas.microsoft.com/office/drawing/2010/main"/>
                            </a:ext>
                          </a:extLst>
                        </pic:spPr>
                      </pic:pic>
                    </a:graphicData>
                  </a:graphic>
                </wp:inline>
              </w:drawing>
            </w:r>
          </w:p>
          <w:p w14:paraId="76560168" w14:textId="77777777" w:rsidR="002F5B61" w:rsidRPr="0017617B" w:rsidRDefault="002F5B61" w:rsidP="002F5B61">
            <w:pPr>
              <w:keepNext/>
              <w:widowControl/>
              <w:spacing w:before="240" w:after="240"/>
              <w:outlineLvl w:val="3"/>
              <w:rPr>
                <w:bCs/>
                <w:iCs/>
                <w:sz w:val="20"/>
                <w:szCs w:val="22"/>
                <w:lang w:val="en-GB" w:bidi="ar-SA"/>
              </w:rPr>
            </w:pPr>
          </w:p>
        </w:tc>
      </w:tr>
      <w:tr w:rsidR="002F5B61" w:rsidRPr="008C0160" w14:paraId="19862ABC" w14:textId="77777777" w:rsidTr="004F5D46">
        <w:trPr>
          <w:trHeight w:val="715"/>
        </w:trPr>
        <w:tc>
          <w:tcPr>
            <w:tcW w:w="3468" w:type="dxa"/>
          </w:tcPr>
          <w:p w14:paraId="57951AB6" w14:textId="77777777" w:rsidR="002F5B61" w:rsidRPr="0017617B" w:rsidRDefault="002F5B61" w:rsidP="002F5B61">
            <w:pPr>
              <w:widowControl/>
              <w:rPr>
                <w:bCs/>
                <w:iCs/>
                <w:sz w:val="20"/>
                <w:szCs w:val="22"/>
                <w:lang w:val="en-GB" w:bidi="ar-SA"/>
              </w:rPr>
            </w:pPr>
          </w:p>
          <w:p w14:paraId="0E2E8FC9" w14:textId="77777777" w:rsidR="002F5B61" w:rsidRPr="0017617B" w:rsidRDefault="002F5B61" w:rsidP="002F5B61">
            <w:pPr>
              <w:widowControl/>
              <w:rPr>
                <w:bCs/>
                <w:iCs/>
                <w:sz w:val="20"/>
                <w:szCs w:val="22"/>
                <w:lang w:val="en-GB" w:bidi="ar-SA"/>
              </w:rPr>
            </w:pPr>
          </w:p>
          <w:p w14:paraId="2B4ED96E" w14:textId="77777777" w:rsidR="002F5B61" w:rsidRPr="0017617B" w:rsidRDefault="002F5B61" w:rsidP="002F5B61">
            <w:pPr>
              <w:widowControl/>
              <w:rPr>
                <w:bCs/>
                <w:iCs/>
                <w:sz w:val="20"/>
                <w:szCs w:val="22"/>
                <w:lang w:val="en-GB" w:bidi="ar-SA"/>
              </w:rPr>
            </w:pPr>
          </w:p>
          <w:p w14:paraId="0AF80869" w14:textId="77777777" w:rsidR="002F5B61" w:rsidRPr="0017617B" w:rsidRDefault="002F5B61" w:rsidP="002F5B61">
            <w:pPr>
              <w:widowControl/>
              <w:rPr>
                <w:bCs/>
                <w:iCs/>
                <w:sz w:val="20"/>
                <w:szCs w:val="22"/>
                <w:lang w:val="en-GB" w:bidi="ar-SA"/>
              </w:rPr>
            </w:pPr>
          </w:p>
          <w:p w14:paraId="68676781" w14:textId="77777777" w:rsidR="002F5B61" w:rsidRPr="0017617B" w:rsidRDefault="002F5B61" w:rsidP="002F5B61">
            <w:pPr>
              <w:widowControl/>
              <w:rPr>
                <w:bCs/>
                <w:iCs/>
                <w:sz w:val="20"/>
                <w:szCs w:val="22"/>
                <w:lang w:val="en-GB" w:bidi="ar-SA"/>
              </w:rPr>
            </w:pPr>
          </w:p>
          <w:p w14:paraId="61FAA504" w14:textId="77777777" w:rsidR="002F5B61" w:rsidRPr="0017617B" w:rsidRDefault="002F5B61" w:rsidP="002F5B61">
            <w:pPr>
              <w:widowControl/>
              <w:jc w:val="right"/>
              <w:rPr>
                <w:bCs/>
                <w:iCs/>
                <w:sz w:val="20"/>
                <w:szCs w:val="22"/>
                <w:lang w:val="en-GB" w:bidi="ar-SA"/>
              </w:rPr>
            </w:pPr>
            <w:r w:rsidRPr="0017617B">
              <w:rPr>
                <w:bCs/>
                <w:iCs/>
                <w:sz w:val="20"/>
                <w:szCs w:val="22"/>
                <w:lang w:bidi="ar-SA"/>
              </w:rPr>
              <w:t>Beta (1,3) glucan</w:t>
            </w:r>
          </w:p>
          <w:p w14:paraId="67996C88" w14:textId="77777777" w:rsidR="002F5B61" w:rsidRPr="0017617B" w:rsidRDefault="002F5B61" w:rsidP="002F5B61">
            <w:pPr>
              <w:keepNext/>
              <w:widowControl/>
              <w:spacing w:before="240" w:after="240"/>
              <w:outlineLvl w:val="3"/>
              <w:rPr>
                <w:bCs/>
                <w:i/>
                <w:iCs/>
                <w:sz w:val="20"/>
                <w:szCs w:val="22"/>
                <w:lang w:val="en-GB" w:bidi="ar-SA"/>
              </w:rPr>
            </w:pPr>
          </w:p>
        </w:tc>
        <w:tc>
          <w:tcPr>
            <w:tcW w:w="5818" w:type="dxa"/>
          </w:tcPr>
          <w:p w14:paraId="03E594B2" w14:textId="77777777" w:rsidR="002F5B61" w:rsidRPr="0017617B" w:rsidRDefault="002F5B61" w:rsidP="002F5B61">
            <w:pPr>
              <w:keepNext/>
              <w:widowControl/>
              <w:spacing w:before="240" w:after="240"/>
              <w:outlineLvl w:val="3"/>
              <w:rPr>
                <w:bCs/>
                <w:iCs/>
                <w:sz w:val="20"/>
                <w:szCs w:val="22"/>
                <w:lang w:val="en-GB" w:bidi="ar-SA"/>
              </w:rPr>
            </w:pPr>
            <w:r w:rsidRPr="009F4510">
              <w:rPr>
                <w:i/>
                <w:noProof/>
                <w:sz w:val="20"/>
                <w:szCs w:val="22"/>
                <w:lang w:eastAsia="en-GB" w:bidi="ar-SA"/>
              </w:rPr>
              <w:drawing>
                <wp:inline distT="0" distB="0" distL="0" distR="0" wp14:anchorId="021AAF29" wp14:editId="09FC3BAB">
                  <wp:extent cx="2943177" cy="1602706"/>
                  <wp:effectExtent l="0" t="0" r="0" b="0"/>
                  <wp:docPr id="4" name="Picture 4" title="Structural formula for Beta (1,3) glu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l="24173" t="10865" r="25662" b="48395"/>
                          <a:stretch/>
                        </pic:blipFill>
                        <pic:spPr bwMode="auto">
                          <a:xfrm>
                            <a:off x="0" y="0"/>
                            <a:ext cx="2953608" cy="1608386"/>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B223F5E" w14:textId="77777777" w:rsidR="002F5B61" w:rsidRPr="008C0160" w:rsidRDefault="00FE354D" w:rsidP="0017617B">
      <w:pPr>
        <w:pStyle w:val="Heading3"/>
      </w:pPr>
      <w:bookmarkStart w:id="31" w:name="_Toc472668675"/>
      <w:bookmarkStart w:id="32" w:name="_Toc476908564"/>
      <w:bookmarkStart w:id="33" w:name="_Toc478375786"/>
      <w:r w:rsidRPr="008C0160">
        <w:lastRenderedPageBreak/>
        <w:t>2.4</w:t>
      </w:r>
      <w:r w:rsidRPr="008C0160">
        <w:tab/>
      </w:r>
      <w:r w:rsidR="002F5B61" w:rsidRPr="008C0160">
        <w:t>Analytical method for detection</w:t>
      </w:r>
      <w:bookmarkEnd w:id="31"/>
      <w:bookmarkEnd w:id="32"/>
      <w:bookmarkEnd w:id="33"/>
    </w:p>
    <w:p w14:paraId="7BE5E784" w14:textId="77777777" w:rsidR="002F5B61" w:rsidRPr="008C0160" w:rsidRDefault="002F5B61" w:rsidP="00DD760C">
      <w:pPr>
        <w:widowControl/>
        <w:tabs>
          <w:tab w:val="left" w:pos="1134"/>
        </w:tabs>
        <w:rPr>
          <w:rFonts w:eastAsia="Calibri"/>
          <w:szCs w:val="22"/>
          <w:lang w:bidi="ar-SA"/>
        </w:rPr>
      </w:pPr>
      <w:r w:rsidRPr="008C0160">
        <w:rPr>
          <w:rFonts w:eastAsia="Calibri"/>
          <w:szCs w:val="22"/>
          <w:lang w:bidi="ar-SA"/>
        </w:rPr>
        <w:t xml:space="preserve">As chitin-glucan is insoluble in alcoholic beverages, the precipitates it forms with unwanted components in these beverages during processing </w:t>
      </w:r>
      <w:r w:rsidR="00A12AE3" w:rsidRPr="008C0160">
        <w:rPr>
          <w:rFonts w:eastAsia="Calibri"/>
          <w:szCs w:val="22"/>
          <w:lang w:bidi="ar-SA"/>
        </w:rPr>
        <w:t>require removal</w:t>
      </w:r>
      <w:r w:rsidRPr="008C0160">
        <w:rPr>
          <w:rFonts w:eastAsia="Calibri"/>
          <w:szCs w:val="22"/>
          <w:lang w:bidi="ar-SA"/>
        </w:rPr>
        <w:t xml:space="preserve"> via filtration or </w:t>
      </w:r>
      <w:r w:rsidR="000179A0" w:rsidRPr="008C0160">
        <w:rPr>
          <w:rFonts w:eastAsia="Calibri"/>
          <w:szCs w:val="22"/>
          <w:lang w:bidi="ar-SA"/>
        </w:rPr>
        <w:t>similar processes</w:t>
      </w:r>
      <w:r w:rsidRPr="008C0160">
        <w:rPr>
          <w:rFonts w:eastAsia="Calibri"/>
          <w:szCs w:val="22"/>
          <w:lang w:bidi="ar-SA"/>
        </w:rPr>
        <w:t>.</w:t>
      </w:r>
      <w:r w:rsidRPr="008C0160" w:rsidDel="00381F6A">
        <w:rPr>
          <w:rFonts w:eastAsia="Calibri"/>
          <w:szCs w:val="22"/>
          <w:lang w:bidi="ar-SA"/>
        </w:rPr>
        <w:t xml:space="preserve"> </w:t>
      </w:r>
      <w:r w:rsidRPr="008C0160">
        <w:rPr>
          <w:rFonts w:eastAsia="Calibri"/>
          <w:szCs w:val="22"/>
          <w:lang w:bidi="ar-SA"/>
        </w:rPr>
        <w:t xml:space="preserve">Tests to determine any </w:t>
      </w:r>
      <w:r w:rsidR="00A12AE3" w:rsidRPr="008C0160">
        <w:rPr>
          <w:rFonts w:eastAsia="Calibri"/>
          <w:szCs w:val="22"/>
          <w:lang w:bidi="ar-SA"/>
        </w:rPr>
        <w:t>residual chitin-glucan</w:t>
      </w:r>
      <w:r w:rsidRPr="008C0160">
        <w:rPr>
          <w:rFonts w:eastAsia="Calibri"/>
          <w:szCs w:val="22"/>
          <w:lang w:bidi="ar-SA"/>
        </w:rPr>
        <w:t xml:space="preserve"> in wines are identified by the OIV in OIV INTERNATIONAL OENOLOGICAL CODEX Chitin-Glucan COEI-1-CHITGL: 2009.</w:t>
      </w:r>
    </w:p>
    <w:p w14:paraId="3DEFA226" w14:textId="77777777" w:rsidR="002F5B61" w:rsidRPr="008C0160" w:rsidRDefault="00FE354D" w:rsidP="0017617B">
      <w:pPr>
        <w:pStyle w:val="Heading3"/>
      </w:pPr>
      <w:bookmarkStart w:id="34" w:name="_Toc472668676"/>
      <w:bookmarkStart w:id="35" w:name="_Toc476908565"/>
      <w:bookmarkStart w:id="36" w:name="_Toc478375787"/>
      <w:r w:rsidRPr="008C0160">
        <w:t>2.5</w:t>
      </w:r>
      <w:r w:rsidRPr="008C0160">
        <w:tab/>
      </w:r>
      <w:r w:rsidR="002F5B61" w:rsidRPr="008C0160">
        <w:t>Manufacturing process</w:t>
      </w:r>
      <w:bookmarkEnd w:id="34"/>
      <w:bookmarkEnd w:id="35"/>
      <w:bookmarkEnd w:id="36"/>
    </w:p>
    <w:p w14:paraId="2D2C5490" w14:textId="77777777" w:rsidR="002F5B61" w:rsidRPr="008C0160" w:rsidRDefault="002F5B61" w:rsidP="00DD760C">
      <w:pPr>
        <w:widowControl/>
        <w:tabs>
          <w:tab w:val="left" w:pos="1134"/>
        </w:tabs>
        <w:rPr>
          <w:rFonts w:eastAsia="Calibri"/>
          <w:szCs w:val="22"/>
          <w:lang w:bidi="ar-SA"/>
        </w:rPr>
      </w:pPr>
      <w:r w:rsidRPr="008C0160">
        <w:rPr>
          <w:rFonts w:eastAsia="Calibri"/>
          <w:szCs w:val="22"/>
          <w:lang w:bidi="ar-SA"/>
        </w:rPr>
        <w:t xml:space="preserve">Chitin-glucan is obtained from the mycelium of non-genetically-modified strains of </w:t>
      </w:r>
      <w:r w:rsidRPr="008C0160">
        <w:rPr>
          <w:rFonts w:eastAsia="Calibri"/>
          <w:i/>
        </w:rPr>
        <w:t>A. niger</w:t>
      </w:r>
      <w:r w:rsidRPr="008C0160">
        <w:rPr>
          <w:rFonts w:eastAsia="Calibri"/>
          <w:szCs w:val="22"/>
          <w:lang w:bidi="ar-SA"/>
        </w:rPr>
        <w:t xml:space="preserve">, a microorganism employed in the food and pharmaceutical industries </w:t>
      </w:r>
      <w:r w:rsidR="007C4A3D" w:rsidRPr="008C0160">
        <w:rPr>
          <w:rFonts w:eastAsia="Calibri"/>
          <w:szCs w:val="22"/>
          <w:lang w:bidi="ar-SA"/>
        </w:rPr>
        <w:t xml:space="preserve">to produce </w:t>
      </w:r>
      <w:r w:rsidRPr="008C0160">
        <w:rPr>
          <w:rFonts w:eastAsia="Calibri"/>
          <w:szCs w:val="22"/>
          <w:lang w:bidi="ar-SA"/>
        </w:rPr>
        <w:t>citric acid</w:t>
      </w:r>
      <w:r w:rsidR="005E6151" w:rsidRPr="008C0160">
        <w:rPr>
          <w:rFonts w:eastAsia="Calibri"/>
          <w:szCs w:val="22"/>
          <w:lang w:bidi="ar-SA"/>
        </w:rPr>
        <w:t xml:space="preserve">. It is also </w:t>
      </w:r>
      <w:r w:rsidR="00867E31" w:rsidRPr="008C0160">
        <w:rPr>
          <w:rFonts w:eastAsia="Calibri"/>
          <w:szCs w:val="22"/>
          <w:lang w:bidi="ar-SA"/>
        </w:rPr>
        <w:t xml:space="preserve">used </w:t>
      </w:r>
      <w:r w:rsidR="00295116" w:rsidRPr="008C0160">
        <w:rPr>
          <w:rFonts w:eastAsia="Calibri"/>
          <w:szCs w:val="22"/>
          <w:lang w:bidi="ar-SA"/>
        </w:rPr>
        <w:t>to produce</w:t>
      </w:r>
      <w:r w:rsidR="005E6151" w:rsidRPr="008C0160">
        <w:rPr>
          <w:lang w:eastAsia="en-AU" w:bidi="ar-SA"/>
        </w:rPr>
        <w:t xml:space="preserve"> a number of enzymes including </w:t>
      </w:r>
      <w:r w:rsidR="005E6151" w:rsidRPr="008C0160">
        <w:rPr>
          <w:rFonts w:cs="Arial"/>
          <w:lang w:eastAsia="en-AU" w:bidi="ar-SA"/>
        </w:rPr>
        <w:t>α</w:t>
      </w:r>
      <w:r w:rsidR="005E6151" w:rsidRPr="008C0160">
        <w:rPr>
          <w:lang w:eastAsia="en-AU" w:bidi="ar-SA"/>
        </w:rPr>
        <w:t>-amylase, cellulose, amyloglucosidase, catalase, glucose oxidase, lipase and pectinase.</w:t>
      </w:r>
    </w:p>
    <w:p w14:paraId="18B4DA1A" w14:textId="77777777" w:rsidR="002F5B61" w:rsidRPr="008C0160" w:rsidRDefault="002F5B61" w:rsidP="00DD760C">
      <w:pPr>
        <w:widowControl/>
        <w:tabs>
          <w:tab w:val="left" w:pos="1134"/>
        </w:tabs>
        <w:rPr>
          <w:rFonts w:eastAsia="Calibri"/>
          <w:szCs w:val="22"/>
          <w:lang w:bidi="ar-SA"/>
        </w:rPr>
      </w:pPr>
    </w:p>
    <w:p w14:paraId="6D1FDD5A" w14:textId="77777777" w:rsidR="002F5B61" w:rsidRPr="008C0160" w:rsidRDefault="002F5B61" w:rsidP="00DD760C">
      <w:pPr>
        <w:widowControl/>
        <w:tabs>
          <w:tab w:val="left" w:pos="1134"/>
        </w:tabs>
        <w:rPr>
          <w:rFonts w:eastAsia="Calibri"/>
          <w:szCs w:val="22"/>
          <w:lang w:bidi="ar-SA"/>
        </w:rPr>
      </w:pPr>
      <w:r w:rsidRPr="008C0160">
        <w:rPr>
          <w:rFonts w:eastAsia="Calibri"/>
          <w:szCs w:val="22"/>
          <w:lang w:bidi="ar-SA"/>
        </w:rPr>
        <w:t xml:space="preserve">Preparation of chitin–glucan from the biomass of </w:t>
      </w:r>
      <w:r w:rsidRPr="008C0160">
        <w:rPr>
          <w:rFonts w:eastAsia="Calibri"/>
          <w:i/>
        </w:rPr>
        <w:t>A. niger</w:t>
      </w:r>
      <w:r w:rsidRPr="008C0160">
        <w:rPr>
          <w:rFonts w:eastAsia="Calibri"/>
          <w:szCs w:val="22"/>
          <w:lang w:bidi="ar-SA"/>
        </w:rPr>
        <w:t xml:space="preserve"> is based on the alkali treatment of the biomass with NaOH solution (2.5%) at ambient temperature overnight. This is followed by an aggressive alkali treatment with concentrated NaOH (40–45%) at 130°C for 4–6 hours. The resultant white powder contains 32% polyaminosaccharide</w:t>
      </w:r>
      <w:r w:rsidR="00DC323C">
        <w:rPr>
          <w:rFonts w:eastAsia="Calibri"/>
          <w:szCs w:val="22"/>
          <w:lang w:bidi="ar-SA"/>
        </w:rPr>
        <w:t xml:space="preserve"> (chitin)</w:t>
      </w:r>
      <w:r w:rsidRPr="008C0160">
        <w:rPr>
          <w:rFonts w:eastAsia="Calibri"/>
          <w:szCs w:val="22"/>
          <w:lang w:bidi="ar-SA"/>
        </w:rPr>
        <w:t xml:space="preserve"> and 15-20% glucan.</w:t>
      </w:r>
    </w:p>
    <w:p w14:paraId="7A7BB197" w14:textId="77777777" w:rsidR="002F5B61" w:rsidRPr="008C0160" w:rsidRDefault="002F5B61" w:rsidP="00DD760C">
      <w:pPr>
        <w:widowControl/>
        <w:tabs>
          <w:tab w:val="left" w:pos="1134"/>
        </w:tabs>
        <w:rPr>
          <w:rFonts w:eastAsia="Calibri"/>
          <w:szCs w:val="22"/>
          <w:lang w:bidi="ar-SA"/>
        </w:rPr>
      </w:pPr>
    </w:p>
    <w:p w14:paraId="7658DD45" w14:textId="77777777" w:rsidR="002F5B61" w:rsidRPr="008C0160" w:rsidRDefault="002F5B61" w:rsidP="00DD760C">
      <w:pPr>
        <w:widowControl/>
        <w:tabs>
          <w:tab w:val="left" w:pos="1134"/>
        </w:tabs>
        <w:rPr>
          <w:rFonts w:eastAsia="Calibri"/>
          <w:szCs w:val="22"/>
          <w:lang w:bidi="ar-SA"/>
        </w:rPr>
      </w:pPr>
      <w:r w:rsidRPr="008C0160">
        <w:rPr>
          <w:rFonts w:eastAsia="Calibri"/>
          <w:szCs w:val="22"/>
          <w:lang w:bidi="ar-SA"/>
        </w:rPr>
        <w:t xml:space="preserve">Other methods for chitin-glucan extraction from the biomass of </w:t>
      </w:r>
      <w:r w:rsidRPr="008C0160">
        <w:rPr>
          <w:rFonts w:eastAsia="Calibri"/>
          <w:i/>
        </w:rPr>
        <w:t>A. niger</w:t>
      </w:r>
      <w:r w:rsidRPr="008C0160">
        <w:rPr>
          <w:rFonts w:eastAsia="Calibri"/>
          <w:szCs w:val="22"/>
          <w:lang w:bidi="ar-SA"/>
        </w:rPr>
        <w:t xml:space="preserve"> involve alkaline extraction to remove the proteins and alkali-soluble polysaccharides. The purity of the product must be equal to or higher than 95 %</w:t>
      </w:r>
      <w:r w:rsidR="00DC323C">
        <w:rPr>
          <w:rFonts w:eastAsia="Calibri"/>
          <w:szCs w:val="22"/>
          <w:lang w:bidi="ar-SA"/>
        </w:rPr>
        <w:t xml:space="preserve"> as stipulated in the OIV specification</w:t>
      </w:r>
      <w:r w:rsidRPr="008C0160">
        <w:rPr>
          <w:rFonts w:eastAsia="Calibri"/>
          <w:szCs w:val="22"/>
          <w:lang w:bidi="ar-SA"/>
        </w:rPr>
        <w:t>.</w:t>
      </w:r>
    </w:p>
    <w:p w14:paraId="4A2DA42A" w14:textId="77777777" w:rsidR="002F5B61" w:rsidRPr="008C0160" w:rsidRDefault="00FE354D" w:rsidP="0017617B">
      <w:pPr>
        <w:pStyle w:val="Heading3"/>
      </w:pPr>
      <w:bookmarkStart w:id="37" w:name="_Toc472668677"/>
      <w:bookmarkStart w:id="38" w:name="_Toc476908566"/>
      <w:bookmarkStart w:id="39" w:name="_Toc478375788"/>
      <w:r w:rsidRPr="008C0160">
        <w:t>2.6</w:t>
      </w:r>
      <w:r w:rsidRPr="008C0160">
        <w:tab/>
      </w:r>
      <w:r w:rsidR="002F5B61" w:rsidRPr="008C0160">
        <w:t>Product specification</w:t>
      </w:r>
      <w:bookmarkEnd w:id="37"/>
      <w:bookmarkEnd w:id="38"/>
      <w:bookmarkEnd w:id="39"/>
    </w:p>
    <w:p w14:paraId="53FFC216" w14:textId="77777777" w:rsidR="002F5B61" w:rsidRPr="008C0160" w:rsidRDefault="002F5B61" w:rsidP="00416638">
      <w:pPr>
        <w:widowControl/>
        <w:tabs>
          <w:tab w:val="left" w:pos="1134"/>
        </w:tabs>
        <w:rPr>
          <w:rFonts w:eastAsia="Calibri"/>
          <w:szCs w:val="22"/>
          <w:lang w:bidi="ar-SA"/>
        </w:rPr>
      </w:pPr>
      <w:r w:rsidRPr="008C0160">
        <w:rPr>
          <w:rFonts w:eastAsia="Calibri"/>
          <w:szCs w:val="22"/>
          <w:lang w:bidi="ar-SA"/>
        </w:rPr>
        <w:t xml:space="preserve">Any supplier of </w:t>
      </w:r>
      <w:r w:rsidR="005C63B4" w:rsidRPr="008C0160">
        <w:rPr>
          <w:rFonts w:eastAsia="Calibri"/>
          <w:szCs w:val="22"/>
          <w:lang w:bidi="ar-SA"/>
        </w:rPr>
        <w:t>c</w:t>
      </w:r>
      <w:r w:rsidRPr="008C0160">
        <w:rPr>
          <w:rFonts w:eastAsia="Calibri"/>
          <w:szCs w:val="22"/>
          <w:lang w:bidi="ar-SA"/>
        </w:rPr>
        <w:t>hitin-glucan would need to meet any specification set out in the Code, including the requirements set out in the OIV INTERNATIONAL OENOLOGICAL CODEX Chitin-Glucan COEI-1-CHITGL: 2009</w:t>
      </w:r>
      <w:r w:rsidR="00FF4A0B" w:rsidRPr="008C0160">
        <w:rPr>
          <w:rFonts w:eastAsia="Calibri"/>
          <w:szCs w:val="22"/>
          <w:lang w:bidi="ar-SA"/>
        </w:rPr>
        <w:t>,</w:t>
      </w:r>
      <w:r w:rsidRPr="008C0160">
        <w:rPr>
          <w:rFonts w:eastAsia="Calibri"/>
          <w:szCs w:val="22"/>
          <w:lang w:bidi="ar-SA"/>
        </w:rPr>
        <w:t xml:space="preserve"> which is one of the secondary references for specifications in S3—3(j) of the Code.</w:t>
      </w:r>
    </w:p>
    <w:p w14:paraId="15C5B63D" w14:textId="77777777" w:rsidR="002F5B61" w:rsidRPr="008C0160" w:rsidRDefault="00FE354D" w:rsidP="0017617B">
      <w:pPr>
        <w:pStyle w:val="Heading3"/>
      </w:pPr>
      <w:bookmarkStart w:id="40" w:name="_Toc472668678"/>
      <w:bookmarkStart w:id="41" w:name="_Toc476908567"/>
      <w:bookmarkStart w:id="42" w:name="_Toc478375789"/>
      <w:r w:rsidRPr="008C0160">
        <w:t>2.7</w:t>
      </w:r>
      <w:r w:rsidRPr="008C0160">
        <w:tab/>
      </w:r>
      <w:r w:rsidR="002F5B61" w:rsidRPr="008C0160">
        <w:t>Food technology conclusion</w:t>
      </w:r>
      <w:bookmarkEnd w:id="40"/>
      <w:bookmarkEnd w:id="41"/>
      <w:bookmarkEnd w:id="42"/>
    </w:p>
    <w:p w14:paraId="5CECF962" w14:textId="77777777" w:rsidR="002F5B61" w:rsidRPr="008C0160" w:rsidRDefault="002F5B61" w:rsidP="00DD760C">
      <w:pPr>
        <w:widowControl/>
        <w:tabs>
          <w:tab w:val="left" w:pos="1134"/>
        </w:tabs>
        <w:rPr>
          <w:rFonts w:eastAsia="Calibri"/>
          <w:szCs w:val="22"/>
          <w:lang w:bidi="ar-SA"/>
        </w:rPr>
      </w:pPr>
      <w:r w:rsidRPr="008C0160">
        <w:rPr>
          <w:rFonts w:eastAsia="Calibri"/>
          <w:szCs w:val="22"/>
          <w:lang w:bidi="ar-SA"/>
        </w:rPr>
        <w:t xml:space="preserve">FSANZ </w:t>
      </w:r>
      <w:r w:rsidR="00C43B65" w:rsidRPr="008C0160">
        <w:rPr>
          <w:rFonts w:eastAsia="Calibri"/>
          <w:szCs w:val="22"/>
          <w:lang w:bidi="ar-SA"/>
        </w:rPr>
        <w:t xml:space="preserve">has concluded that </w:t>
      </w:r>
      <w:r w:rsidRPr="008C0160">
        <w:rPr>
          <w:rFonts w:eastAsia="Calibri"/>
          <w:szCs w:val="22"/>
          <w:lang w:bidi="ar-SA"/>
        </w:rPr>
        <w:t xml:space="preserve">the use of chitin-glucan is effective in reducing metals and </w:t>
      </w:r>
      <w:r w:rsidR="003B0B81">
        <w:rPr>
          <w:rFonts w:eastAsia="Calibri"/>
          <w:szCs w:val="22"/>
          <w:lang w:bidi="ar-SA"/>
        </w:rPr>
        <w:t>a chosen</w:t>
      </w:r>
      <w:r w:rsidR="003B0B81" w:rsidRPr="008C0160">
        <w:rPr>
          <w:rFonts w:eastAsia="Calibri"/>
          <w:szCs w:val="22"/>
          <w:lang w:bidi="ar-SA"/>
        </w:rPr>
        <w:t xml:space="preserve"> </w:t>
      </w:r>
      <w:r w:rsidRPr="008C0160">
        <w:rPr>
          <w:rFonts w:eastAsia="Calibri"/>
          <w:szCs w:val="22"/>
          <w:lang w:bidi="ar-SA"/>
        </w:rPr>
        <w:t>organic contaminant</w:t>
      </w:r>
      <w:r w:rsidR="003B0B81">
        <w:rPr>
          <w:rFonts w:eastAsia="Calibri"/>
          <w:szCs w:val="22"/>
          <w:lang w:bidi="ar-SA"/>
        </w:rPr>
        <w:t xml:space="preserve"> </w:t>
      </w:r>
      <w:r w:rsidRPr="008C0160">
        <w:rPr>
          <w:rFonts w:eastAsia="Calibri"/>
          <w:szCs w:val="22"/>
          <w:lang w:bidi="ar-SA"/>
        </w:rPr>
        <w:t xml:space="preserve">in wine, as demonstrated by analysis of wines provided in the application. Chitin–glucan was shown to significantly reduce levels of iron, cadmium, lead and </w:t>
      </w:r>
      <w:r w:rsidR="003B0B81">
        <w:rPr>
          <w:rFonts w:eastAsia="Calibri"/>
          <w:szCs w:val="22"/>
          <w:lang w:bidi="ar-SA"/>
        </w:rPr>
        <w:t>the organic contaminant</w:t>
      </w:r>
      <w:r w:rsidR="007C7647">
        <w:rPr>
          <w:rFonts w:eastAsia="Calibri"/>
          <w:szCs w:val="22"/>
          <w:lang w:bidi="ar-SA"/>
        </w:rPr>
        <w:t>,</w:t>
      </w:r>
      <w:r w:rsidR="003B0B81">
        <w:rPr>
          <w:rFonts w:eastAsia="Calibri"/>
          <w:szCs w:val="22"/>
          <w:lang w:bidi="ar-SA"/>
        </w:rPr>
        <w:t xml:space="preserve"> </w:t>
      </w:r>
      <w:r w:rsidR="00504D7C">
        <w:rPr>
          <w:rFonts w:eastAsia="Calibri"/>
          <w:szCs w:val="22"/>
          <w:lang w:bidi="ar-SA"/>
        </w:rPr>
        <w:t>o</w:t>
      </w:r>
      <w:r w:rsidRPr="008C0160">
        <w:rPr>
          <w:rFonts w:eastAsia="Calibri"/>
          <w:szCs w:val="22"/>
          <w:lang w:bidi="ar-SA"/>
        </w:rPr>
        <w:t>chratoxin A</w:t>
      </w:r>
      <w:r w:rsidR="007C7647">
        <w:rPr>
          <w:rFonts w:eastAsia="Calibri"/>
          <w:szCs w:val="22"/>
          <w:lang w:bidi="ar-SA"/>
        </w:rPr>
        <w:t>,</w:t>
      </w:r>
      <w:r w:rsidRPr="008C0160">
        <w:rPr>
          <w:rFonts w:eastAsia="Calibri"/>
          <w:szCs w:val="22"/>
          <w:lang w:bidi="ar-SA"/>
        </w:rPr>
        <w:t xml:space="preserve"> in various wine varieties. When added in a quantity and a </w:t>
      </w:r>
      <w:r w:rsidRPr="008C0160" w:rsidDel="00874971">
        <w:rPr>
          <w:rFonts w:eastAsia="Calibri"/>
          <w:szCs w:val="22"/>
          <w:lang w:bidi="ar-SA"/>
        </w:rPr>
        <w:t xml:space="preserve">form </w:t>
      </w:r>
      <w:r w:rsidRPr="008C0160">
        <w:rPr>
          <w:rFonts w:eastAsia="Calibri"/>
          <w:szCs w:val="22"/>
          <w:lang w:bidi="ar-SA"/>
        </w:rPr>
        <w:t>consistent with delivering the stated purpose, chitin-glucan is technologically justified for use as a processing aid</w:t>
      </w:r>
      <w:r w:rsidR="00CA797B">
        <w:rPr>
          <w:rFonts w:eastAsia="Calibri"/>
          <w:szCs w:val="22"/>
          <w:lang w:bidi="ar-SA"/>
        </w:rPr>
        <w:t xml:space="preserve"> for wine</w:t>
      </w:r>
      <w:r w:rsidR="00874971">
        <w:rPr>
          <w:rFonts w:eastAsia="Calibri"/>
          <w:szCs w:val="22"/>
          <w:lang w:bidi="ar-SA"/>
        </w:rPr>
        <w:t>. It</w:t>
      </w:r>
      <w:r w:rsidRPr="008C0160" w:rsidDel="00874971">
        <w:rPr>
          <w:rFonts w:eastAsia="Calibri"/>
          <w:szCs w:val="22"/>
          <w:lang w:bidi="ar-SA"/>
        </w:rPr>
        <w:t xml:space="preserve"> </w:t>
      </w:r>
      <w:r w:rsidR="00874971">
        <w:rPr>
          <w:rFonts w:eastAsia="Calibri"/>
          <w:szCs w:val="22"/>
          <w:lang w:bidi="ar-SA"/>
        </w:rPr>
        <w:t>is removed before bottling and</w:t>
      </w:r>
      <w:r w:rsidRPr="008C0160">
        <w:rPr>
          <w:rFonts w:eastAsia="Calibri"/>
          <w:szCs w:val="22"/>
          <w:lang w:bidi="ar-SA"/>
        </w:rPr>
        <w:t xml:space="preserve"> does not perform a technological purpose in the final food.</w:t>
      </w:r>
      <w:r w:rsidR="00FF4A0B" w:rsidRPr="008C0160" w:rsidDel="00E07BBF">
        <w:rPr>
          <w:rFonts w:eastAsia="Calibri"/>
          <w:szCs w:val="22"/>
          <w:lang w:bidi="ar-SA"/>
        </w:rPr>
        <w:t xml:space="preserve"> </w:t>
      </w:r>
      <w:r w:rsidR="00A434A9" w:rsidRPr="00A434A9">
        <w:rPr>
          <w:rFonts w:eastAsia="Calibri"/>
          <w:szCs w:val="22"/>
          <w:lang w:bidi="ar-SA"/>
        </w:rPr>
        <w:t xml:space="preserve">Chitin–glucan will be </w:t>
      </w:r>
      <w:r w:rsidR="00B528BC" w:rsidRPr="00B528BC">
        <w:rPr>
          <w:rFonts w:eastAsia="Calibri"/>
          <w:szCs w:val="22"/>
          <w:lang w:bidi="ar-SA"/>
        </w:rPr>
        <w:t xml:space="preserve">permitted for use at </w:t>
      </w:r>
      <w:r w:rsidR="00B528BC">
        <w:rPr>
          <w:rFonts w:eastAsia="Calibri"/>
          <w:szCs w:val="22"/>
          <w:lang w:bidi="ar-SA"/>
        </w:rPr>
        <w:t>good manufacturing practice (</w:t>
      </w:r>
      <w:r w:rsidR="00B528BC" w:rsidRPr="00B528BC">
        <w:rPr>
          <w:rFonts w:eastAsia="Calibri"/>
          <w:szCs w:val="22"/>
          <w:lang w:bidi="ar-SA"/>
        </w:rPr>
        <w:t>GMP</w:t>
      </w:r>
      <w:r w:rsidR="00B528BC">
        <w:rPr>
          <w:rFonts w:eastAsia="Calibri"/>
          <w:szCs w:val="22"/>
          <w:lang w:bidi="ar-SA"/>
        </w:rPr>
        <w:t>)</w:t>
      </w:r>
      <w:r w:rsidR="00B528BC" w:rsidRPr="00B528BC">
        <w:rPr>
          <w:rFonts w:eastAsia="Calibri"/>
          <w:szCs w:val="22"/>
          <w:lang w:bidi="ar-SA"/>
        </w:rPr>
        <w:t xml:space="preserve"> levels, which is the lowest possible level necessary to accomplish a desired effect</w:t>
      </w:r>
      <w:r w:rsidR="00816128">
        <w:rPr>
          <w:rFonts w:eastAsia="Calibri"/>
          <w:szCs w:val="22"/>
          <w:lang w:bidi="ar-SA"/>
        </w:rPr>
        <w:t>.</w:t>
      </w:r>
      <w:r w:rsidR="00A434A9" w:rsidRPr="00A434A9">
        <w:rPr>
          <w:rFonts w:eastAsia="Calibri"/>
          <w:szCs w:val="22"/>
          <w:lang w:bidi="ar-SA"/>
        </w:rPr>
        <w:t xml:space="preserve"> </w:t>
      </w:r>
      <w:r w:rsidR="00FF4A0B" w:rsidRPr="008C0160">
        <w:rPr>
          <w:rFonts w:eastAsia="Calibri"/>
          <w:szCs w:val="22"/>
          <w:lang w:bidi="ar-SA"/>
        </w:rPr>
        <w:t xml:space="preserve">A specification for chitin-glucan which meets the requirements of the Code is provided by the OIV.  </w:t>
      </w:r>
    </w:p>
    <w:p w14:paraId="0A27F96D" w14:textId="77777777" w:rsidR="0032491D" w:rsidRPr="008C0160" w:rsidRDefault="00FE354D" w:rsidP="00936045">
      <w:pPr>
        <w:pStyle w:val="Heading2"/>
      </w:pPr>
      <w:bookmarkStart w:id="43" w:name="_Toc472668679"/>
      <w:bookmarkStart w:id="44" w:name="_Toc476908568"/>
      <w:bookmarkStart w:id="45" w:name="_Toc478375790"/>
      <w:r w:rsidRPr="008C0160">
        <w:t>3</w:t>
      </w:r>
      <w:r w:rsidRPr="008C0160">
        <w:tab/>
      </w:r>
      <w:r w:rsidR="00AE121C" w:rsidRPr="008C0160">
        <w:t xml:space="preserve">Hazard </w:t>
      </w:r>
      <w:r w:rsidR="000F5240" w:rsidRPr="008C0160">
        <w:t>a</w:t>
      </w:r>
      <w:r w:rsidR="00AE121C" w:rsidRPr="008C0160">
        <w:t>ssessment</w:t>
      </w:r>
      <w:bookmarkStart w:id="46" w:name="_Toc464547647"/>
      <w:bookmarkStart w:id="47" w:name="_Toc464547702"/>
      <w:bookmarkStart w:id="48" w:name="_Toc464547913"/>
      <w:bookmarkStart w:id="49" w:name="_Toc465949474"/>
      <w:bookmarkStart w:id="50" w:name="_Toc465949490"/>
      <w:bookmarkStart w:id="51" w:name="_Toc469573172"/>
      <w:bookmarkStart w:id="52" w:name="_Toc471977553"/>
      <w:bookmarkStart w:id="53" w:name="_Toc471977612"/>
      <w:bookmarkStart w:id="54" w:name="_Toc471978096"/>
      <w:bookmarkEnd w:id="43"/>
      <w:bookmarkEnd w:id="44"/>
      <w:bookmarkEnd w:id="45"/>
      <w:bookmarkEnd w:id="46"/>
      <w:bookmarkEnd w:id="47"/>
      <w:bookmarkEnd w:id="48"/>
      <w:bookmarkEnd w:id="49"/>
      <w:bookmarkEnd w:id="50"/>
      <w:bookmarkEnd w:id="51"/>
      <w:bookmarkEnd w:id="52"/>
      <w:bookmarkEnd w:id="53"/>
      <w:bookmarkEnd w:id="54"/>
    </w:p>
    <w:p w14:paraId="3A986F63" w14:textId="77777777" w:rsidR="00813A90" w:rsidRPr="008C0160" w:rsidRDefault="00FE354D" w:rsidP="0017617B">
      <w:pPr>
        <w:pStyle w:val="Heading3"/>
      </w:pPr>
      <w:bookmarkStart w:id="55" w:name="_Toc472668681"/>
      <w:bookmarkStart w:id="56" w:name="_Toc476908569"/>
      <w:bookmarkStart w:id="57" w:name="_Toc478375791"/>
      <w:r w:rsidRPr="008C0160">
        <w:t>3.1</w:t>
      </w:r>
      <w:r w:rsidRPr="008C0160">
        <w:tab/>
      </w:r>
      <w:r w:rsidR="00813A90" w:rsidRPr="008C0160">
        <w:t>Toxicokinetics</w:t>
      </w:r>
      <w:bookmarkEnd w:id="55"/>
      <w:bookmarkEnd w:id="56"/>
      <w:bookmarkEnd w:id="57"/>
    </w:p>
    <w:p w14:paraId="04F609ED" w14:textId="77777777" w:rsidR="00C83DEE" w:rsidRPr="008C0160" w:rsidRDefault="00826E30" w:rsidP="003742D6">
      <w:pPr>
        <w:rPr>
          <w:lang w:eastAsia="en-AU" w:bidi="ar-SA"/>
        </w:rPr>
      </w:pPr>
      <w:r w:rsidRPr="008C0160">
        <w:rPr>
          <w:lang w:eastAsia="en-AU" w:bidi="ar-SA"/>
        </w:rPr>
        <w:t>I</w:t>
      </w:r>
      <w:r w:rsidR="003742D6" w:rsidRPr="008C0160">
        <w:rPr>
          <w:lang w:eastAsia="en-AU" w:bidi="ar-SA"/>
        </w:rPr>
        <w:t xml:space="preserve">t is not known whether chitin or </w:t>
      </w:r>
      <w:r w:rsidR="00504D7C">
        <w:rPr>
          <w:lang w:eastAsia="en-AU" w:bidi="ar-SA"/>
        </w:rPr>
        <w:t>b</w:t>
      </w:r>
      <w:r w:rsidR="00FF4A0B" w:rsidRPr="008C0160">
        <w:rPr>
          <w:lang w:eastAsia="en-AU" w:bidi="ar-SA"/>
        </w:rPr>
        <w:t xml:space="preserve">eta-glucan </w:t>
      </w:r>
      <w:r w:rsidR="003742D6" w:rsidRPr="008C0160">
        <w:rPr>
          <w:lang w:eastAsia="en-AU" w:bidi="ar-SA"/>
        </w:rPr>
        <w:t xml:space="preserve">is released from the </w:t>
      </w:r>
      <w:r w:rsidR="00A563F3" w:rsidRPr="008C0160">
        <w:rPr>
          <w:lang w:eastAsia="en-AU" w:bidi="ar-SA"/>
        </w:rPr>
        <w:t>chitin-glucan</w:t>
      </w:r>
      <w:r w:rsidR="003742D6" w:rsidRPr="008C0160">
        <w:rPr>
          <w:lang w:eastAsia="en-AU" w:bidi="ar-SA"/>
        </w:rPr>
        <w:t xml:space="preserve"> copolymer in the </w:t>
      </w:r>
      <w:r w:rsidR="00343780" w:rsidRPr="008C0160">
        <w:rPr>
          <w:lang w:eastAsia="en-AU" w:bidi="ar-SA"/>
        </w:rPr>
        <w:t>gastrointestinal</w:t>
      </w:r>
      <w:r w:rsidR="00563A64" w:rsidRPr="008C0160">
        <w:rPr>
          <w:lang w:eastAsia="en-AU" w:bidi="ar-SA"/>
        </w:rPr>
        <w:t xml:space="preserve"> </w:t>
      </w:r>
      <w:r w:rsidR="00422C68" w:rsidRPr="008C0160">
        <w:rPr>
          <w:lang w:eastAsia="en-AU" w:bidi="ar-SA"/>
        </w:rPr>
        <w:t>tract</w:t>
      </w:r>
      <w:r w:rsidR="00504D7C">
        <w:rPr>
          <w:lang w:eastAsia="en-AU" w:bidi="ar-SA"/>
        </w:rPr>
        <w:t xml:space="preserve"> following oral exposure</w:t>
      </w:r>
      <w:r w:rsidR="00422C68" w:rsidRPr="008C0160">
        <w:rPr>
          <w:lang w:eastAsia="en-AU" w:bidi="ar-SA"/>
        </w:rPr>
        <w:t xml:space="preserve"> (</w:t>
      </w:r>
      <w:r w:rsidR="003742D6" w:rsidRPr="008C0160">
        <w:rPr>
          <w:lang w:eastAsia="en-AU" w:bidi="ar-SA"/>
        </w:rPr>
        <w:t>Jonker et al.</w:t>
      </w:r>
      <w:r w:rsidRPr="008C0160">
        <w:rPr>
          <w:lang w:eastAsia="en-AU" w:bidi="ar-SA"/>
        </w:rPr>
        <w:t xml:space="preserve"> 2010</w:t>
      </w:r>
      <w:r w:rsidR="003742D6" w:rsidRPr="008C0160">
        <w:rPr>
          <w:lang w:eastAsia="en-AU" w:bidi="ar-SA"/>
        </w:rPr>
        <w:t>)</w:t>
      </w:r>
      <w:r w:rsidRPr="008C0160">
        <w:rPr>
          <w:lang w:eastAsia="en-AU" w:bidi="ar-SA"/>
        </w:rPr>
        <w:t xml:space="preserve">. The </w:t>
      </w:r>
      <w:r w:rsidR="00A563F3" w:rsidRPr="008C0160">
        <w:rPr>
          <w:lang w:eastAsia="en-AU" w:bidi="ar-SA"/>
        </w:rPr>
        <w:t>chitin-glucan</w:t>
      </w:r>
      <w:r w:rsidRPr="008C0160">
        <w:rPr>
          <w:lang w:eastAsia="en-AU" w:bidi="ar-SA"/>
        </w:rPr>
        <w:t xml:space="preserve"> copolymer itself, and chitin, are insoluble in water. </w:t>
      </w:r>
    </w:p>
    <w:p w14:paraId="6DE77E38" w14:textId="77777777" w:rsidR="00C83DEE" w:rsidRPr="008C0160" w:rsidRDefault="00C83DEE" w:rsidP="003742D6">
      <w:pPr>
        <w:rPr>
          <w:lang w:eastAsia="en-AU" w:bidi="ar-SA"/>
        </w:rPr>
      </w:pPr>
    </w:p>
    <w:p w14:paraId="64E2223A" w14:textId="77777777" w:rsidR="00A21748" w:rsidRPr="00AB6B8B" w:rsidRDefault="00C83DEE" w:rsidP="003742D6">
      <w:pPr>
        <w:rPr>
          <w:lang w:eastAsia="en-AU" w:bidi="ar-SA"/>
        </w:rPr>
      </w:pPr>
      <w:r w:rsidRPr="008C0160">
        <w:rPr>
          <w:lang w:eastAsia="en-AU" w:bidi="ar-SA"/>
        </w:rPr>
        <w:t xml:space="preserve">Only two chitinases have been identified in mammals, chitotriosidase and acidic mammalian chitinase (AMCase). Chitotriosidase is mainly secreted by </w:t>
      </w:r>
      <w:r w:rsidR="008F5139" w:rsidRPr="008C0160">
        <w:rPr>
          <w:lang w:eastAsia="en-AU" w:bidi="ar-SA"/>
        </w:rPr>
        <w:t xml:space="preserve">macrophages </w:t>
      </w:r>
      <w:r w:rsidRPr="008C0160">
        <w:rPr>
          <w:lang w:eastAsia="en-AU" w:bidi="ar-SA"/>
        </w:rPr>
        <w:t xml:space="preserve">and acts against chitin-containing </w:t>
      </w:r>
      <w:r w:rsidR="008F5139" w:rsidRPr="008C0160">
        <w:rPr>
          <w:lang w:eastAsia="en-AU" w:bidi="ar-SA"/>
        </w:rPr>
        <w:t>parasites</w:t>
      </w:r>
      <w:r w:rsidRPr="008C0160">
        <w:rPr>
          <w:lang w:eastAsia="en-AU" w:bidi="ar-SA"/>
        </w:rPr>
        <w:t xml:space="preserve">. AMCase has been identified in mice, </w:t>
      </w:r>
      <w:r w:rsidR="00511DB8" w:rsidRPr="008C0160">
        <w:rPr>
          <w:lang w:eastAsia="en-AU" w:bidi="ar-SA"/>
        </w:rPr>
        <w:t xml:space="preserve">rats, </w:t>
      </w:r>
      <w:r w:rsidRPr="008C0160">
        <w:rPr>
          <w:lang w:eastAsia="en-AU" w:bidi="ar-SA"/>
        </w:rPr>
        <w:t>insectivorous bats, cynomolgus macaques (</w:t>
      </w:r>
      <w:r w:rsidRPr="008C0160">
        <w:rPr>
          <w:i/>
          <w:lang w:eastAsia="en-AU" w:bidi="ar-SA"/>
        </w:rPr>
        <w:t>Macaca fascicularis</w:t>
      </w:r>
      <w:r w:rsidRPr="008C0160">
        <w:rPr>
          <w:lang w:eastAsia="en-AU" w:bidi="ar-SA"/>
        </w:rPr>
        <w:t xml:space="preserve">) and humans. </w:t>
      </w:r>
      <w:r w:rsidR="00A21748" w:rsidRPr="00AB6B8B">
        <w:rPr>
          <w:lang w:eastAsia="en-AU" w:bidi="ar-SA"/>
        </w:rPr>
        <w:br w:type="page"/>
      </w:r>
    </w:p>
    <w:p w14:paraId="5247FCE3" w14:textId="77777777" w:rsidR="00C83DEE" w:rsidRPr="008C0160" w:rsidRDefault="00C83DEE" w:rsidP="003742D6">
      <w:pPr>
        <w:rPr>
          <w:lang w:eastAsia="en-AU" w:bidi="ar-SA"/>
        </w:rPr>
      </w:pPr>
      <w:r w:rsidRPr="008C0160">
        <w:rPr>
          <w:lang w:eastAsia="en-AU" w:bidi="ar-SA"/>
        </w:rPr>
        <w:lastRenderedPageBreak/>
        <w:t xml:space="preserve">It is highly expressed in stomach and lung, which is interpreted as indicating a dual digestive and immunological function. Chitinolytic activity in the gastrointestinal tract may also originate </w:t>
      </w:r>
      <w:r w:rsidR="008F5139" w:rsidRPr="008C0160">
        <w:rPr>
          <w:lang w:eastAsia="en-AU" w:bidi="ar-SA"/>
        </w:rPr>
        <w:t>from enzymes</w:t>
      </w:r>
      <w:r w:rsidRPr="008C0160">
        <w:rPr>
          <w:lang w:eastAsia="en-AU" w:bidi="ar-SA"/>
        </w:rPr>
        <w:t xml:space="preserve"> produced by microorganisms</w:t>
      </w:r>
      <w:r w:rsidR="00511DB8" w:rsidRPr="008C0160">
        <w:rPr>
          <w:lang w:eastAsia="en-AU" w:bidi="ar-SA"/>
        </w:rPr>
        <w:t>. It is not known whether the level of AMCase activity in the human stomach is sufficient to effectively digest chitin associated with insects and crustaceans</w:t>
      </w:r>
      <w:r w:rsidR="008F5139" w:rsidRPr="008C0160">
        <w:rPr>
          <w:lang w:eastAsia="en-AU" w:bidi="ar-SA"/>
        </w:rPr>
        <w:t xml:space="preserve"> (</w:t>
      </w:r>
      <w:r w:rsidR="00511DB8" w:rsidRPr="008C0160">
        <w:rPr>
          <w:lang w:eastAsia="en-AU" w:bidi="ar-SA"/>
        </w:rPr>
        <w:t xml:space="preserve">Paoletti et al. 2007; </w:t>
      </w:r>
      <w:r w:rsidR="009839EA" w:rsidRPr="008C0160">
        <w:rPr>
          <w:lang w:eastAsia="en-AU" w:bidi="ar-SA"/>
        </w:rPr>
        <w:t xml:space="preserve">Khousab and Yamabhai 2010; </w:t>
      </w:r>
      <w:r w:rsidR="008F5139" w:rsidRPr="008C0160">
        <w:rPr>
          <w:lang w:eastAsia="en-AU" w:bidi="ar-SA"/>
        </w:rPr>
        <w:t>Strobel et al. 2013)</w:t>
      </w:r>
      <w:r w:rsidRPr="008C0160">
        <w:rPr>
          <w:lang w:eastAsia="en-AU" w:bidi="ar-SA"/>
        </w:rPr>
        <w:t xml:space="preserve">. </w:t>
      </w:r>
    </w:p>
    <w:p w14:paraId="2EBD66EF" w14:textId="77777777" w:rsidR="00C83DEE" w:rsidRPr="008C0160" w:rsidRDefault="00C83DEE" w:rsidP="003742D6">
      <w:pPr>
        <w:rPr>
          <w:lang w:eastAsia="en-AU" w:bidi="ar-SA"/>
        </w:rPr>
      </w:pPr>
    </w:p>
    <w:p w14:paraId="3322A9D4" w14:textId="77777777" w:rsidR="00FE1F42" w:rsidRPr="008C0160" w:rsidRDefault="00826E30" w:rsidP="003742D6">
      <w:pPr>
        <w:rPr>
          <w:lang w:eastAsia="en-AU" w:bidi="ar-SA"/>
        </w:rPr>
      </w:pPr>
      <w:r w:rsidRPr="008C0160">
        <w:rPr>
          <w:lang w:eastAsia="en-AU" w:bidi="ar-SA"/>
        </w:rPr>
        <w:t xml:space="preserve">Chitosan, the </w:t>
      </w:r>
      <w:r w:rsidR="00511DB8" w:rsidRPr="008C0160">
        <w:rPr>
          <w:lang w:eastAsia="en-AU" w:bidi="ar-SA"/>
        </w:rPr>
        <w:t>de</w:t>
      </w:r>
      <w:r w:rsidRPr="008C0160">
        <w:rPr>
          <w:lang w:eastAsia="en-AU" w:bidi="ar-SA"/>
        </w:rPr>
        <w:t xml:space="preserve">acetylated form of chitin, is soluble in water, particularly under acidic conditions, and would therefore be expected </w:t>
      </w:r>
      <w:r w:rsidR="00504D7C">
        <w:rPr>
          <w:lang w:eastAsia="en-AU" w:bidi="ar-SA"/>
        </w:rPr>
        <w:t>to</w:t>
      </w:r>
      <w:r w:rsidRPr="008C0160">
        <w:rPr>
          <w:lang w:eastAsia="en-AU" w:bidi="ar-SA"/>
        </w:rPr>
        <w:t xml:space="preserve"> be soluble in wine. Hydrolysis of chitosan</w:t>
      </w:r>
      <w:r w:rsidR="00367A1E">
        <w:rPr>
          <w:lang w:eastAsia="en-AU" w:bidi="ar-SA"/>
        </w:rPr>
        <w:t xml:space="preserve"> could occur in the acid conditions of the stomach, and would</w:t>
      </w:r>
      <w:r w:rsidRPr="008C0160">
        <w:rPr>
          <w:lang w:eastAsia="en-AU" w:bidi="ar-SA"/>
        </w:rPr>
        <w:t xml:space="preserve"> produce </w:t>
      </w:r>
      <w:r w:rsidR="00752B3B" w:rsidRPr="008C0160">
        <w:rPr>
          <w:lang w:eastAsia="en-AU" w:bidi="ar-SA"/>
        </w:rPr>
        <w:t>chito-oligosaccharides (</w:t>
      </w:r>
      <w:r w:rsidR="00FE1F42" w:rsidRPr="008C0160">
        <w:rPr>
          <w:lang w:eastAsia="en-AU" w:bidi="ar-SA"/>
        </w:rPr>
        <w:t>COS</w:t>
      </w:r>
      <w:r w:rsidR="00752B3B" w:rsidRPr="008C0160">
        <w:rPr>
          <w:lang w:eastAsia="en-AU" w:bidi="ar-SA"/>
        </w:rPr>
        <w:t>)</w:t>
      </w:r>
      <w:r w:rsidRPr="008C0160">
        <w:rPr>
          <w:lang w:eastAsia="en-AU" w:bidi="ar-SA"/>
        </w:rPr>
        <w:t>, of which small</w:t>
      </w:r>
      <w:r w:rsidR="00367A1E">
        <w:rPr>
          <w:lang w:eastAsia="en-AU" w:bidi="ar-SA"/>
        </w:rPr>
        <w:t>er</w:t>
      </w:r>
      <w:r w:rsidRPr="008C0160">
        <w:rPr>
          <w:lang w:eastAsia="en-AU" w:bidi="ar-SA"/>
        </w:rPr>
        <w:t xml:space="preserve"> molecules </w:t>
      </w:r>
      <w:r w:rsidR="00367A1E">
        <w:rPr>
          <w:lang w:eastAsia="en-AU" w:bidi="ar-SA"/>
        </w:rPr>
        <w:t>w</w:t>
      </w:r>
      <w:r w:rsidR="00367A1E" w:rsidRPr="008C0160">
        <w:rPr>
          <w:lang w:eastAsia="en-AU" w:bidi="ar-SA"/>
        </w:rPr>
        <w:t xml:space="preserve">ould </w:t>
      </w:r>
      <w:r w:rsidRPr="008C0160">
        <w:rPr>
          <w:lang w:eastAsia="en-AU" w:bidi="ar-SA"/>
        </w:rPr>
        <w:t xml:space="preserve">be absorbed from the gastrointestinal tract. </w:t>
      </w:r>
      <w:r w:rsidR="00F632EF" w:rsidRPr="008C0160">
        <w:rPr>
          <w:lang w:eastAsia="en-AU" w:bidi="ar-SA"/>
        </w:rPr>
        <w:t xml:space="preserve">Muanprasat and Chatsudthipong (2016) reviewed studies of the passage of </w:t>
      </w:r>
      <w:r w:rsidR="00FE1F42" w:rsidRPr="008C0160">
        <w:rPr>
          <w:lang w:eastAsia="en-AU" w:bidi="ar-SA"/>
        </w:rPr>
        <w:t>COS</w:t>
      </w:r>
      <w:r w:rsidR="00F632EF" w:rsidRPr="008C0160">
        <w:rPr>
          <w:lang w:eastAsia="en-AU" w:bidi="ar-SA"/>
        </w:rPr>
        <w:t xml:space="preserve"> through Caco-2 cell</w:t>
      </w:r>
      <w:r w:rsidR="00FE1F42" w:rsidRPr="008C0160">
        <w:rPr>
          <w:lang w:eastAsia="en-AU" w:bidi="ar-SA"/>
        </w:rPr>
        <w:t xml:space="preserve"> monolayers. COS of low</w:t>
      </w:r>
      <w:r w:rsidR="00504D7C">
        <w:rPr>
          <w:lang w:eastAsia="en-AU" w:bidi="ar-SA"/>
        </w:rPr>
        <w:t>er</w:t>
      </w:r>
      <w:r w:rsidR="00FE1F42" w:rsidRPr="008C0160">
        <w:rPr>
          <w:lang w:eastAsia="en-AU" w:bidi="ar-SA"/>
        </w:rPr>
        <w:t xml:space="preserve"> molecular weights, in the range 13 and 22 kD</w:t>
      </w:r>
      <w:r w:rsidR="00504D7C">
        <w:rPr>
          <w:lang w:eastAsia="en-AU" w:bidi="ar-SA"/>
        </w:rPr>
        <w:t>a</w:t>
      </w:r>
      <w:r w:rsidR="00FE1F42" w:rsidRPr="008C0160">
        <w:rPr>
          <w:lang w:eastAsia="en-AU" w:bidi="ar-SA"/>
        </w:rPr>
        <w:t>, could pass through Caco-2 monolayers but those with a molecular weight of 230 kD</w:t>
      </w:r>
      <w:r w:rsidR="00504D7C">
        <w:rPr>
          <w:lang w:eastAsia="en-AU" w:bidi="ar-SA"/>
        </w:rPr>
        <w:t>a</w:t>
      </w:r>
      <w:r w:rsidR="00FE1F42" w:rsidRPr="008C0160">
        <w:rPr>
          <w:lang w:eastAsia="en-AU" w:bidi="ar-SA"/>
        </w:rPr>
        <w:t xml:space="preserve"> could not. </w:t>
      </w:r>
    </w:p>
    <w:p w14:paraId="53D9FD09" w14:textId="77777777" w:rsidR="00C43B65" w:rsidRPr="008C0160" w:rsidRDefault="00C43B65" w:rsidP="003742D6">
      <w:pPr>
        <w:rPr>
          <w:lang w:eastAsia="en-AU" w:bidi="ar-SA"/>
        </w:rPr>
      </w:pPr>
    </w:p>
    <w:p w14:paraId="6CCD25FF" w14:textId="77777777" w:rsidR="00FE1F42" w:rsidRPr="008C0160" w:rsidRDefault="00FE1F42" w:rsidP="003742D6">
      <w:pPr>
        <w:rPr>
          <w:lang w:eastAsia="en-AU" w:bidi="ar-SA"/>
        </w:rPr>
      </w:pPr>
      <w:r w:rsidRPr="008C0160">
        <w:rPr>
          <w:lang w:eastAsia="en-AU" w:bidi="ar-SA"/>
        </w:rPr>
        <w:t xml:space="preserve">COS that are absorbed are principally distributed to the liver, spleen and kidneys, with some distribution to heart and lung. COS are degraded by lysozyme in plasma, liver, kidneys and urine, and are excreted in urine (Muanprasat and Chatsudthipong 2016). </w:t>
      </w:r>
    </w:p>
    <w:p w14:paraId="15379EC7" w14:textId="77777777" w:rsidR="00FE1F42" w:rsidRPr="008C0160" w:rsidRDefault="00FE1F42" w:rsidP="003742D6">
      <w:pPr>
        <w:rPr>
          <w:lang w:eastAsia="en-AU" w:bidi="ar-SA"/>
        </w:rPr>
      </w:pPr>
    </w:p>
    <w:p w14:paraId="11D2E494" w14:textId="77777777" w:rsidR="003742D6" w:rsidRPr="008C0160" w:rsidRDefault="00826E30" w:rsidP="003742D6">
      <w:pPr>
        <w:rPr>
          <w:lang w:eastAsia="en-AU" w:bidi="ar-SA"/>
        </w:rPr>
      </w:pPr>
      <w:r w:rsidRPr="008C0160">
        <w:rPr>
          <w:lang w:eastAsia="en-AU" w:bidi="ar-SA"/>
        </w:rPr>
        <w:t xml:space="preserve">The safety of </w:t>
      </w:r>
      <w:r w:rsidR="009839EA" w:rsidRPr="008C0160">
        <w:rPr>
          <w:lang w:eastAsia="en-AU" w:bidi="ar-SA"/>
        </w:rPr>
        <w:t>chitin, c</w:t>
      </w:r>
      <w:r w:rsidRPr="008C0160">
        <w:rPr>
          <w:lang w:eastAsia="en-AU" w:bidi="ar-SA"/>
        </w:rPr>
        <w:t>hitosan</w:t>
      </w:r>
      <w:r w:rsidR="00FE1F42" w:rsidRPr="008C0160">
        <w:rPr>
          <w:lang w:eastAsia="en-AU" w:bidi="ar-SA"/>
        </w:rPr>
        <w:t>,</w:t>
      </w:r>
      <w:r w:rsidRPr="008C0160">
        <w:rPr>
          <w:lang w:eastAsia="en-AU" w:bidi="ar-SA"/>
        </w:rPr>
        <w:t xml:space="preserve"> </w:t>
      </w:r>
      <w:r w:rsidR="00FE1F42" w:rsidRPr="008C0160">
        <w:rPr>
          <w:lang w:eastAsia="en-AU" w:bidi="ar-SA"/>
        </w:rPr>
        <w:t>COS</w:t>
      </w:r>
      <w:r w:rsidRPr="008C0160">
        <w:rPr>
          <w:lang w:eastAsia="en-AU" w:bidi="ar-SA"/>
        </w:rPr>
        <w:t xml:space="preserve"> </w:t>
      </w:r>
      <w:r w:rsidR="00FE1F42" w:rsidRPr="008C0160">
        <w:rPr>
          <w:lang w:eastAsia="en-AU" w:bidi="ar-SA"/>
        </w:rPr>
        <w:t xml:space="preserve">and </w:t>
      </w:r>
      <w:r w:rsidR="006259C3">
        <w:rPr>
          <w:rFonts w:cs="Arial"/>
          <w:lang w:eastAsia="en-AU" w:bidi="ar-SA"/>
        </w:rPr>
        <w:t>b</w:t>
      </w:r>
      <w:r w:rsidR="00FF4A0B" w:rsidRPr="008C0160">
        <w:rPr>
          <w:rFonts w:cs="Arial"/>
          <w:lang w:eastAsia="en-AU" w:bidi="ar-SA"/>
        </w:rPr>
        <w:t xml:space="preserve">eta-glucan </w:t>
      </w:r>
      <w:r w:rsidRPr="008C0160">
        <w:rPr>
          <w:lang w:eastAsia="en-AU" w:bidi="ar-SA"/>
        </w:rPr>
        <w:t xml:space="preserve">are therefore relevant to this hazard assessment. Breakdown of </w:t>
      </w:r>
      <w:r w:rsidR="006259C3">
        <w:rPr>
          <w:rFonts w:cs="Arial"/>
          <w:lang w:eastAsia="en-AU" w:bidi="ar-SA"/>
        </w:rPr>
        <w:t>b</w:t>
      </w:r>
      <w:r w:rsidR="00FF4A0B" w:rsidRPr="008C0160">
        <w:rPr>
          <w:rFonts w:cs="Arial"/>
          <w:lang w:eastAsia="en-AU" w:bidi="ar-SA"/>
        </w:rPr>
        <w:t xml:space="preserve">eta-glucan </w:t>
      </w:r>
      <w:r w:rsidRPr="008C0160">
        <w:rPr>
          <w:lang w:eastAsia="en-AU" w:bidi="ar-SA"/>
        </w:rPr>
        <w:t xml:space="preserve">would produce glucose, which is not of concern. </w:t>
      </w:r>
      <w:r w:rsidR="0037478B" w:rsidRPr="008C0160">
        <w:rPr>
          <w:lang w:eastAsia="en-AU" w:bidi="ar-SA"/>
        </w:rPr>
        <w:t xml:space="preserve">FSANZ has approved chitosan from </w:t>
      </w:r>
      <w:r w:rsidR="00615C86" w:rsidRPr="008C0160">
        <w:rPr>
          <w:i/>
          <w:lang w:eastAsia="en-AU" w:bidi="ar-SA"/>
        </w:rPr>
        <w:t xml:space="preserve">A. </w:t>
      </w:r>
      <w:r w:rsidR="0037478B" w:rsidRPr="008C0160">
        <w:rPr>
          <w:i/>
          <w:lang w:eastAsia="en-AU" w:bidi="ar-SA"/>
        </w:rPr>
        <w:t>niger</w:t>
      </w:r>
      <w:r w:rsidR="0037478B" w:rsidRPr="008C0160">
        <w:rPr>
          <w:lang w:eastAsia="en-AU" w:bidi="ar-SA"/>
        </w:rPr>
        <w:t xml:space="preserve"> as a wine processing aid in 2013</w:t>
      </w:r>
      <w:r w:rsidR="00615C86" w:rsidRPr="008C0160">
        <w:rPr>
          <w:lang w:eastAsia="en-AU" w:bidi="ar-SA"/>
        </w:rPr>
        <w:t xml:space="preserve"> </w:t>
      </w:r>
      <w:r w:rsidR="0037478B" w:rsidRPr="008C0160">
        <w:rPr>
          <w:lang w:eastAsia="en-AU" w:bidi="ar-SA"/>
        </w:rPr>
        <w:t xml:space="preserve">(application A1077), </w:t>
      </w:r>
      <w:r w:rsidR="00615C86" w:rsidRPr="008C0160">
        <w:rPr>
          <w:lang w:eastAsia="en-AU" w:bidi="ar-SA"/>
        </w:rPr>
        <w:t xml:space="preserve">and assigned </w:t>
      </w:r>
      <w:r w:rsidR="0037478B" w:rsidRPr="008C0160">
        <w:rPr>
          <w:lang w:eastAsia="en-AU" w:bidi="ar-SA"/>
        </w:rPr>
        <w:t xml:space="preserve">an </w:t>
      </w:r>
      <w:r w:rsidR="002F6CB4">
        <w:rPr>
          <w:lang w:eastAsia="en-AU" w:bidi="ar-SA"/>
        </w:rPr>
        <w:t>acceptable daily intake (</w:t>
      </w:r>
      <w:r w:rsidR="0037478B" w:rsidRPr="008C0160">
        <w:rPr>
          <w:lang w:eastAsia="en-AU" w:bidi="ar-SA"/>
        </w:rPr>
        <w:t>ADI</w:t>
      </w:r>
      <w:r w:rsidR="002F6CB4">
        <w:rPr>
          <w:lang w:eastAsia="en-AU" w:bidi="ar-SA"/>
        </w:rPr>
        <w:t>)</w:t>
      </w:r>
      <w:r w:rsidR="0037478B" w:rsidRPr="008C0160">
        <w:rPr>
          <w:lang w:eastAsia="en-AU" w:bidi="ar-SA"/>
        </w:rPr>
        <w:t xml:space="preserve"> of ‘not specified’. </w:t>
      </w:r>
      <w:r w:rsidR="00EE5443" w:rsidRPr="008C0160">
        <w:rPr>
          <w:lang w:eastAsia="en-AU" w:bidi="ar-SA"/>
        </w:rPr>
        <w:t>Therefore, f</w:t>
      </w:r>
      <w:r w:rsidR="0037478B" w:rsidRPr="008C0160">
        <w:rPr>
          <w:lang w:eastAsia="en-AU" w:bidi="ar-SA"/>
        </w:rPr>
        <w:t xml:space="preserve">or this assessment, </w:t>
      </w:r>
      <w:r w:rsidR="00EE5443" w:rsidRPr="008C0160">
        <w:rPr>
          <w:lang w:eastAsia="en-AU" w:bidi="ar-SA"/>
        </w:rPr>
        <w:t>literature</w:t>
      </w:r>
      <w:r w:rsidR="0037478B" w:rsidRPr="008C0160">
        <w:rPr>
          <w:lang w:eastAsia="en-AU" w:bidi="ar-SA"/>
        </w:rPr>
        <w:t xml:space="preserve"> review regarding the safety of chitosan has been limited to </w:t>
      </w:r>
      <w:r w:rsidR="00EE5443" w:rsidRPr="008C0160">
        <w:rPr>
          <w:lang w:eastAsia="en-AU" w:bidi="ar-SA"/>
        </w:rPr>
        <w:t xml:space="preserve">studies </w:t>
      </w:r>
      <w:r w:rsidR="0037478B" w:rsidRPr="008C0160">
        <w:rPr>
          <w:lang w:eastAsia="en-AU" w:bidi="ar-SA"/>
        </w:rPr>
        <w:t xml:space="preserve">published since 2012. </w:t>
      </w:r>
    </w:p>
    <w:p w14:paraId="6297C2A7" w14:textId="77777777" w:rsidR="00813A90" w:rsidRPr="008C0160" w:rsidRDefault="00FE354D" w:rsidP="0017617B">
      <w:pPr>
        <w:pStyle w:val="Heading3"/>
      </w:pPr>
      <w:bookmarkStart w:id="58" w:name="_Toc472668682"/>
      <w:bookmarkStart w:id="59" w:name="_Toc476908570"/>
      <w:bookmarkStart w:id="60" w:name="_Toc478375792"/>
      <w:r w:rsidRPr="008C0160">
        <w:t>3.2</w:t>
      </w:r>
      <w:r w:rsidRPr="008C0160">
        <w:tab/>
      </w:r>
      <w:r w:rsidR="00813A90" w:rsidRPr="008C0160">
        <w:t>Genotoxicity studies</w:t>
      </w:r>
      <w:bookmarkEnd w:id="58"/>
      <w:bookmarkEnd w:id="59"/>
      <w:bookmarkEnd w:id="60"/>
    </w:p>
    <w:p w14:paraId="7313660B" w14:textId="77777777" w:rsidR="00E80DDB" w:rsidRPr="008C0160" w:rsidRDefault="00E80DDB" w:rsidP="00E80DDB">
      <w:pPr>
        <w:rPr>
          <w:lang w:eastAsia="en-AU" w:bidi="ar-SA"/>
        </w:rPr>
      </w:pPr>
      <w:r w:rsidRPr="008C0160">
        <w:rPr>
          <w:lang w:eastAsia="en-AU" w:bidi="ar-SA"/>
        </w:rPr>
        <w:t xml:space="preserve">The genotoxicity of </w:t>
      </w:r>
      <w:r w:rsidR="00615C86" w:rsidRPr="008C0160">
        <w:rPr>
          <w:lang w:eastAsia="en-AU" w:bidi="ar-SA"/>
        </w:rPr>
        <w:t xml:space="preserve">COS </w:t>
      </w:r>
      <w:r w:rsidRPr="008C0160">
        <w:rPr>
          <w:lang w:eastAsia="en-AU" w:bidi="ar-SA"/>
        </w:rPr>
        <w:t xml:space="preserve">produced by depolymerisation of chitosan was assessed by Qin </w:t>
      </w:r>
      <w:r w:rsidRPr="000B0E99">
        <w:rPr>
          <w:lang w:eastAsia="en-AU" w:bidi="ar-SA"/>
        </w:rPr>
        <w:t>et al</w:t>
      </w:r>
      <w:r w:rsidRPr="004E21B3">
        <w:rPr>
          <w:lang w:eastAsia="en-AU" w:bidi="ar-SA"/>
        </w:rPr>
        <w:t xml:space="preserve">. </w:t>
      </w:r>
      <w:r w:rsidRPr="008C0160">
        <w:rPr>
          <w:lang w:eastAsia="en-AU" w:bidi="ar-SA"/>
        </w:rPr>
        <w:t xml:space="preserve">(2006). </w:t>
      </w:r>
      <w:r w:rsidR="00615C86" w:rsidRPr="008C0160">
        <w:rPr>
          <w:lang w:eastAsia="en-AU" w:bidi="ar-SA"/>
        </w:rPr>
        <w:t xml:space="preserve">COS </w:t>
      </w:r>
      <w:r w:rsidR="00143BC1" w:rsidRPr="008C0160">
        <w:rPr>
          <w:lang w:eastAsia="en-AU" w:bidi="ar-SA"/>
        </w:rPr>
        <w:t xml:space="preserve">differ from chitin and chitosan in that </w:t>
      </w:r>
      <w:r w:rsidR="00615C86" w:rsidRPr="008C0160">
        <w:rPr>
          <w:lang w:eastAsia="en-AU" w:bidi="ar-SA"/>
        </w:rPr>
        <w:t xml:space="preserve">those of low molecular weight </w:t>
      </w:r>
      <w:r w:rsidR="00143BC1" w:rsidRPr="008C0160">
        <w:rPr>
          <w:lang w:eastAsia="en-AU" w:bidi="ar-SA"/>
        </w:rPr>
        <w:t xml:space="preserve">are well absorbed from the gastrointestinal tract. </w:t>
      </w:r>
      <w:r w:rsidR="00615C86" w:rsidRPr="008C0160">
        <w:rPr>
          <w:lang w:eastAsia="en-AU" w:bidi="ar-SA"/>
        </w:rPr>
        <w:t xml:space="preserve">COS </w:t>
      </w:r>
      <w:r w:rsidR="00815938" w:rsidRPr="008C0160">
        <w:rPr>
          <w:lang w:eastAsia="en-AU" w:bidi="ar-SA"/>
        </w:rPr>
        <w:t xml:space="preserve">are therefore the logical compounds on which to perform genotoxicity assays. It may be reasonably concluded that if </w:t>
      </w:r>
      <w:r w:rsidR="00615C86" w:rsidRPr="008C0160">
        <w:rPr>
          <w:lang w:eastAsia="en-AU" w:bidi="ar-SA"/>
        </w:rPr>
        <w:t xml:space="preserve">COS </w:t>
      </w:r>
      <w:r w:rsidR="00815938" w:rsidRPr="008C0160">
        <w:rPr>
          <w:lang w:eastAsia="en-AU" w:bidi="ar-SA"/>
        </w:rPr>
        <w:t>are not mutagenic or genotoxic, then the large</w:t>
      </w:r>
      <w:r w:rsidR="00615C86" w:rsidRPr="008C0160">
        <w:rPr>
          <w:lang w:eastAsia="en-AU" w:bidi="ar-SA"/>
        </w:rPr>
        <w:t xml:space="preserve">, insoluble polymers from which they are derived </w:t>
      </w:r>
      <w:r w:rsidR="00815938" w:rsidRPr="008C0160">
        <w:rPr>
          <w:lang w:eastAsia="en-AU" w:bidi="ar-SA"/>
        </w:rPr>
        <w:t xml:space="preserve">would </w:t>
      </w:r>
      <w:r w:rsidR="00F52FA5" w:rsidRPr="008C0160">
        <w:rPr>
          <w:lang w:eastAsia="en-AU" w:bidi="ar-SA"/>
        </w:rPr>
        <w:t>not be mutagenic or genotoxic either</w:t>
      </w:r>
      <w:r w:rsidR="00815938" w:rsidRPr="008C0160">
        <w:rPr>
          <w:lang w:eastAsia="en-AU" w:bidi="ar-SA"/>
        </w:rPr>
        <w:t xml:space="preserve">. </w:t>
      </w:r>
      <w:r w:rsidR="00C04001" w:rsidRPr="008C0160">
        <w:rPr>
          <w:lang w:eastAsia="en-AU" w:bidi="ar-SA"/>
        </w:rPr>
        <w:t xml:space="preserve">On the basis of the reverse bacterial mutation assay, mouse micronucleus test and mouse sperm abnormality test, it was concluded that </w:t>
      </w:r>
      <w:r w:rsidR="00615C86" w:rsidRPr="008C0160">
        <w:rPr>
          <w:lang w:eastAsia="en-AU" w:bidi="ar-SA"/>
        </w:rPr>
        <w:t xml:space="preserve">COS </w:t>
      </w:r>
      <w:r w:rsidR="003742D6" w:rsidRPr="008C0160">
        <w:rPr>
          <w:lang w:eastAsia="en-AU" w:bidi="ar-SA"/>
        </w:rPr>
        <w:t>are</w:t>
      </w:r>
      <w:r w:rsidR="00C04001" w:rsidRPr="008C0160">
        <w:rPr>
          <w:lang w:eastAsia="en-AU" w:bidi="ar-SA"/>
        </w:rPr>
        <w:t xml:space="preserve"> not mutagenic or genotoxic. </w:t>
      </w:r>
    </w:p>
    <w:p w14:paraId="4A3EAAFB" w14:textId="77777777" w:rsidR="00E80DDB" w:rsidRPr="008C0160" w:rsidRDefault="00FE354D" w:rsidP="0017617B">
      <w:pPr>
        <w:pStyle w:val="Heading4"/>
      </w:pPr>
      <w:r w:rsidRPr="008C0160">
        <w:t>3.2.1</w:t>
      </w:r>
      <w:r w:rsidRPr="008C0160">
        <w:tab/>
      </w:r>
      <w:r w:rsidR="00E80DDB" w:rsidRPr="008C0160">
        <w:t xml:space="preserve">Reverse bacterial mutation assay (Ames test) of </w:t>
      </w:r>
      <w:r w:rsidR="00314D8F" w:rsidRPr="008C0160">
        <w:t xml:space="preserve">COS </w:t>
      </w:r>
    </w:p>
    <w:p w14:paraId="61324A1B" w14:textId="77777777" w:rsidR="00804DBC" w:rsidRPr="008C0160" w:rsidRDefault="00E80DDB" w:rsidP="00E80DDB">
      <w:pPr>
        <w:rPr>
          <w:lang w:eastAsia="en-AU" w:bidi="ar-SA"/>
        </w:rPr>
      </w:pPr>
      <w:r w:rsidRPr="008C0160">
        <w:rPr>
          <w:i/>
          <w:lang w:eastAsia="en-AU" w:bidi="ar-SA"/>
        </w:rPr>
        <w:t>Salmonella typhimurium</w:t>
      </w:r>
      <w:r w:rsidRPr="008C0160">
        <w:rPr>
          <w:lang w:eastAsia="en-AU" w:bidi="ar-SA"/>
        </w:rPr>
        <w:t xml:space="preserve"> strains used for this assay </w:t>
      </w:r>
      <w:r w:rsidR="00791EE9" w:rsidRPr="008C0160">
        <w:t>(Qin et al. 2006)</w:t>
      </w:r>
      <w:r w:rsidR="00791EE9" w:rsidRPr="008C0160">
        <w:rPr>
          <w:i/>
        </w:rPr>
        <w:t xml:space="preserve"> </w:t>
      </w:r>
      <w:r w:rsidRPr="008C0160">
        <w:rPr>
          <w:lang w:eastAsia="en-AU" w:bidi="ar-SA"/>
        </w:rPr>
        <w:t xml:space="preserve">were TA97, TA98, TA100 and TA102. Bacteria were exposed to </w:t>
      </w:r>
      <w:r w:rsidR="00314D8F" w:rsidRPr="008C0160">
        <w:rPr>
          <w:lang w:eastAsia="en-AU" w:bidi="ar-SA"/>
        </w:rPr>
        <w:t>COS</w:t>
      </w:r>
      <w:r w:rsidRPr="008C0160">
        <w:rPr>
          <w:lang w:eastAsia="en-AU" w:bidi="ar-SA"/>
        </w:rPr>
        <w:t xml:space="preserve">, dissolved in distilled water, at concentrations of 0.5, 5, 50, 500 and 5000 </w:t>
      </w:r>
      <w:r w:rsidRPr="008C0160">
        <w:rPr>
          <w:rFonts w:cs="Arial"/>
          <w:lang w:eastAsia="en-AU" w:bidi="ar-SA"/>
        </w:rPr>
        <w:t>µ</w:t>
      </w:r>
      <w:r w:rsidRPr="008C0160">
        <w:rPr>
          <w:lang w:eastAsia="en-AU" w:bidi="ar-SA"/>
        </w:rPr>
        <w:t>g/plate, with and without S9 fraction metabolic activation system.</w:t>
      </w:r>
      <w:r w:rsidR="00037B7D" w:rsidRPr="008C0160">
        <w:rPr>
          <w:lang w:eastAsia="en-AU" w:bidi="ar-SA"/>
        </w:rPr>
        <w:t xml:space="preserve"> Each assay was performed in triplicate.</w:t>
      </w:r>
      <w:r w:rsidRPr="008C0160">
        <w:rPr>
          <w:lang w:eastAsia="en-AU" w:bidi="ar-SA"/>
        </w:rPr>
        <w:t xml:space="preserve"> Negative (water and DMSO) and positive (1-aminofluorene, fenaminosulf, sodium azide and 1,8-dihydroxyanthraquinone) control assays were run simultaneously</w:t>
      </w:r>
      <w:r w:rsidR="00037B7D" w:rsidRPr="008C0160">
        <w:rPr>
          <w:lang w:eastAsia="en-AU" w:bidi="ar-SA"/>
        </w:rPr>
        <w:t xml:space="preserve"> in duplicate. There was no significant increase in the number of revertant colonies in any of the four </w:t>
      </w:r>
      <w:r w:rsidR="00037B7D" w:rsidRPr="008C0160">
        <w:rPr>
          <w:i/>
          <w:lang w:eastAsia="en-AU" w:bidi="ar-SA"/>
        </w:rPr>
        <w:t>S. typhimurium</w:t>
      </w:r>
      <w:r w:rsidR="00037B7D" w:rsidRPr="008C0160">
        <w:rPr>
          <w:lang w:eastAsia="en-AU" w:bidi="ar-SA"/>
        </w:rPr>
        <w:t xml:space="preserve"> strains, with or without S9 fraction, at any concentration of </w:t>
      </w:r>
      <w:r w:rsidR="00314D8F" w:rsidRPr="008C0160">
        <w:rPr>
          <w:lang w:eastAsia="en-AU" w:bidi="ar-SA"/>
        </w:rPr>
        <w:t>COS</w:t>
      </w:r>
      <w:r w:rsidR="00037B7D" w:rsidRPr="008C0160">
        <w:rPr>
          <w:lang w:eastAsia="en-AU" w:bidi="ar-SA"/>
        </w:rPr>
        <w:t xml:space="preserve">. </w:t>
      </w:r>
      <w:r w:rsidR="00804DBC" w:rsidRPr="008C0160">
        <w:rPr>
          <w:lang w:eastAsia="en-AU" w:bidi="ar-SA"/>
        </w:rPr>
        <w:t>T</w:t>
      </w:r>
      <w:r w:rsidR="00037B7D" w:rsidRPr="008C0160">
        <w:rPr>
          <w:lang w:eastAsia="en-AU" w:bidi="ar-SA"/>
        </w:rPr>
        <w:t xml:space="preserve">he positive control articles caused an </w:t>
      </w:r>
      <w:r w:rsidR="00127289" w:rsidRPr="008C0160">
        <w:rPr>
          <w:lang w:eastAsia="en-AU" w:bidi="ar-SA"/>
        </w:rPr>
        <w:t>approximately threefold</w:t>
      </w:r>
      <w:r w:rsidR="00037B7D" w:rsidRPr="008C0160">
        <w:rPr>
          <w:lang w:eastAsia="en-AU" w:bidi="ar-SA"/>
        </w:rPr>
        <w:t xml:space="preserve"> increase in the number of revertant colonies. </w:t>
      </w:r>
    </w:p>
    <w:p w14:paraId="6151CF5D" w14:textId="77777777" w:rsidR="00804DBC" w:rsidRPr="008C0160" w:rsidRDefault="00FE354D" w:rsidP="0017617B">
      <w:pPr>
        <w:pStyle w:val="Heading4"/>
      </w:pPr>
      <w:r w:rsidRPr="008C0160">
        <w:t>3.2.2</w:t>
      </w:r>
      <w:r w:rsidRPr="008C0160">
        <w:tab/>
      </w:r>
      <w:r w:rsidR="00804DBC" w:rsidRPr="008C0160">
        <w:t xml:space="preserve">Micronucleus test in mice </w:t>
      </w:r>
    </w:p>
    <w:p w14:paraId="1A8D0FA9" w14:textId="77777777" w:rsidR="00804DBC" w:rsidRPr="008C0160" w:rsidRDefault="00D37F95" w:rsidP="00E80DDB">
      <w:pPr>
        <w:rPr>
          <w:lang w:eastAsia="en-AU" w:bidi="ar-SA"/>
        </w:rPr>
      </w:pPr>
      <w:r w:rsidRPr="008C0160">
        <w:rPr>
          <w:lang w:eastAsia="en-AU" w:bidi="ar-SA"/>
        </w:rPr>
        <w:t>Kunming strain mice, ranging in body weight from 25 to 30 g, were randomised to five groups, 5/sex/group</w:t>
      </w:r>
      <w:r w:rsidR="00791EE9" w:rsidRPr="008C0160">
        <w:rPr>
          <w:lang w:eastAsia="en-AU" w:bidi="ar-SA"/>
        </w:rPr>
        <w:t xml:space="preserve"> </w:t>
      </w:r>
      <w:r w:rsidR="00791EE9" w:rsidRPr="008C0160">
        <w:t>(Qin et al. 2006)</w:t>
      </w:r>
      <w:r w:rsidRPr="008C0160">
        <w:rPr>
          <w:lang w:eastAsia="en-AU" w:bidi="ar-SA"/>
        </w:rPr>
        <w:t>. Mice were</w:t>
      </w:r>
      <w:r w:rsidRPr="008C0160" w:rsidDel="00367A1E">
        <w:rPr>
          <w:lang w:eastAsia="en-AU" w:bidi="ar-SA"/>
        </w:rPr>
        <w:t xml:space="preserve"> </w:t>
      </w:r>
      <w:r w:rsidR="00367A1E">
        <w:rPr>
          <w:lang w:eastAsia="en-AU" w:bidi="ar-SA"/>
        </w:rPr>
        <w:t>gavaged</w:t>
      </w:r>
      <w:r w:rsidR="00367A1E" w:rsidRPr="008C0160">
        <w:rPr>
          <w:lang w:eastAsia="en-AU" w:bidi="ar-SA"/>
        </w:rPr>
        <w:t xml:space="preserve"> </w:t>
      </w:r>
      <w:r w:rsidRPr="008C0160">
        <w:rPr>
          <w:lang w:eastAsia="en-AU" w:bidi="ar-SA"/>
        </w:rPr>
        <w:t xml:space="preserve">with </w:t>
      </w:r>
      <w:r w:rsidR="00314D8F" w:rsidRPr="008C0160">
        <w:rPr>
          <w:lang w:eastAsia="en-AU" w:bidi="ar-SA"/>
        </w:rPr>
        <w:t>COS</w:t>
      </w:r>
      <w:r w:rsidRPr="008C0160">
        <w:rPr>
          <w:lang w:eastAsia="en-AU" w:bidi="ar-SA"/>
        </w:rPr>
        <w:t xml:space="preserve">, dissolved in distilled water, at 0, 1250, 2500 or 5000 mg/kg bw, in two divided doses 24 hours apart. The fifth group was the positive control group, and mice in this group were </w:t>
      </w:r>
      <w:r w:rsidR="00367A1E">
        <w:rPr>
          <w:lang w:eastAsia="en-AU" w:bidi="ar-SA"/>
        </w:rPr>
        <w:t>administered</w:t>
      </w:r>
      <w:r w:rsidRPr="008C0160">
        <w:rPr>
          <w:lang w:eastAsia="en-AU" w:bidi="ar-SA"/>
        </w:rPr>
        <w:t xml:space="preserve"> cyclophosphamide, 40 mg/kg in physiological saline, by IP injection. All mice were killed 6 h </w:t>
      </w:r>
      <w:r w:rsidRPr="008C0160">
        <w:rPr>
          <w:lang w:eastAsia="en-AU" w:bidi="ar-SA"/>
        </w:rPr>
        <w:lastRenderedPageBreak/>
        <w:t xml:space="preserve">after the final dose, and marrow cells from the </w:t>
      </w:r>
      <w:r w:rsidR="00280377" w:rsidRPr="008C0160">
        <w:rPr>
          <w:lang w:eastAsia="en-AU" w:bidi="ar-SA"/>
        </w:rPr>
        <w:t>sternum</w:t>
      </w:r>
      <w:r w:rsidRPr="008C0160">
        <w:rPr>
          <w:lang w:eastAsia="en-AU" w:bidi="ar-SA"/>
        </w:rPr>
        <w:t xml:space="preserve"> were fixed in methanol, stained with Giemsa stain and examined. The frequency of micronuclei was counted by examination of 1000 polychromatic erythrocytes/mouse. </w:t>
      </w:r>
    </w:p>
    <w:p w14:paraId="309E76F3" w14:textId="77777777" w:rsidR="00D37F95" w:rsidRPr="008C0160" w:rsidRDefault="00D37F95" w:rsidP="00E80DDB">
      <w:pPr>
        <w:rPr>
          <w:lang w:eastAsia="en-AU" w:bidi="ar-SA"/>
        </w:rPr>
      </w:pPr>
    </w:p>
    <w:p w14:paraId="4A4616BA" w14:textId="77777777" w:rsidR="00CF54F1" w:rsidRPr="008C0160" w:rsidRDefault="00A86A45" w:rsidP="00E80DDB">
      <w:pPr>
        <w:rPr>
          <w:lang w:eastAsia="en-AU" w:bidi="ar-SA"/>
        </w:rPr>
      </w:pPr>
      <w:r w:rsidRPr="008C0160">
        <w:rPr>
          <w:lang w:eastAsia="en-AU" w:bidi="ar-SA"/>
        </w:rPr>
        <w:t xml:space="preserve">The </w:t>
      </w:r>
      <w:r w:rsidR="00280377" w:rsidRPr="008C0160">
        <w:rPr>
          <w:lang w:eastAsia="en-AU" w:bidi="ar-SA"/>
        </w:rPr>
        <w:t>frequencies of micronuclei were</w:t>
      </w:r>
      <w:r w:rsidRPr="008C0160">
        <w:rPr>
          <w:lang w:eastAsia="en-AU" w:bidi="ar-SA"/>
        </w:rPr>
        <w:t xml:space="preserve"> not significantly different between the groups treated with </w:t>
      </w:r>
      <w:r w:rsidR="00314D8F" w:rsidRPr="008C0160">
        <w:rPr>
          <w:lang w:eastAsia="en-AU" w:bidi="ar-SA"/>
        </w:rPr>
        <w:t xml:space="preserve">COS </w:t>
      </w:r>
      <w:r w:rsidRPr="008C0160">
        <w:rPr>
          <w:lang w:eastAsia="en-AU" w:bidi="ar-SA"/>
        </w:rPr>
        <w:t xml:space="preserve">and the negative control group, as determined by chi-square test. </w:t>
      </w:r>
      <w:r w:rsidR="0017617B" w:rsidRPr="008C0160">
        <w:rPr>
          <w:lang w:eastAsia="en-AU" w:bidi="ar-SA"/>
        </w:rPr>
        <w:t>However,</w:t>
      </w:r>
      <w:r w:rsidRPr="008C0160">
        <w:rPr>
          <w:lang w:eastAsia="en-AU" w:bidi="ar-SA"/>
        </w:rPr>
        <w:t xml:space="preserve"> the frequencies of </w:t>
      </w:r>
      <w:r w:rsidR="00314D8F" w:rsidRPr="008C0160">
        <w:rPr>
          <w:lang w:eastAsia="en-AU" w:bidi="ar-SA"/>
        </w:rPr>
        <w:t xml:space="preserve">micronuclei </w:t>
      </w:r>
      <w:r w:rsidRPr="008C0160">
        <w:rPr>
          <w:lang w:eastAsia="en-AU" w:bidi="ar-SA"/>
        </w:rPr>
        <w:t xml:space="preserve">in the positive control group were significantly increased. </w:t>
      </w:r>
    </w:p>
    <w:p w14:paraId="7DE2BE39" w14:textId="77777777" w:rsidR="00CF54F1" w:rsidRPr="008C0160" w:rsidRDefault="00FE354D" w:rsidP="0017617B">
      <w:pPr>
        <w:pStyle w:val="Heading4"/>
      </w:pPr>
      <w:r w:rsidRPr="008C0160">
        <w:t>3.2.3</w:t>
      </w:r>
      <w:r w:rsidRPr="008C0160">
        <w:tab/>
      </w:r>
      <w:r w:rsidR="00CF54F1" w:rsidRPr="008C0160">
        <w:t xml:space="preserve">Sperm abnormality test in mice </w:t>
      </w:r>
    </w:p>
    <w:p w14:paraId="7EA89D0B" w14:textId="77777777" w:rsidR="00DF0BB1" w:rsidRPr="008C0160" w:rsidRDefault="00CF54F1" w:rsidP="00CF54F1">
      <w:pPr>
        <w:rPr>
          <w:lang w:eastAsia="en-AU" w:bidi="ar-SA"/>
        </w:rPr>
      </w:pPr>
      <w:r w:rsidRPr="008C0160">
        <w:rPr>
          <w:lang w:eastAsia="en-AU" w:bidi="ar-SA"/>
        </w:rPr>
        <w:t>Male Kunming mice, weighing 27-35 g, were randomly assigned to five groups (5/group)</w:t>
      </w:r>
      <w:r w:rsidR="00791EE9" w:rsidRPr="008C0160">
        <w:t xml:space="preserve"> (Qin et al. 2006)</w:t>
      </w:r>
      <w:r w:rsidRPr="008C0160">
        <w:rPr>
          <w:lang w:eastAsia="en-AU" w:bidi="ar-SA"/>
        </w:rPr>
        <w:t>. Mice were gavaged daily for five days with 0, 1250, 2500 or 5000 mg/kg bw</w:t>
      </w:r>
      <w:r w:rsidR="004E21B3">
        <w:rPr>
          <w:lang w:eastAsia="en-AU" w:bidi="ar-SA"/>
        </w:rPr>
        <w:t xml:space="preserve">/day </w:t>
      </w:r>
      <w:r w:rsidR="00314D8F" w:rsidRPr="008C0160">
        <w:rPr>
          <w:lang w:eastAsia="en-AU" w:bidi="ar-SA"/>
        </w:rPr>
        <w:t xml:space="preserve">COS </w:t>
      </w:r>
      <w:r w:rsidRPr="008C0160">
        <w:rPr>
          <w:lang w:eastAsia="en-AU" w:bidi="ar-SA"/>
        </w:rPr>
        <w:t>in distilled water. The fifth group was the positive control group and was treated with 40</w:t>
      </w:r>
      <w:r w:rsidR="004E21B3">
        <w:rPr>
          <w:lang w:eastAsia="en-AU" w:bidi="ar-SA"/>
        </w:rPr>
        <w:t> </w:t>
      </w:r>
      <w:r w:rsidRPr="008C0160">
        <w:rPr>
          <w:lang w:eastAsia="en-AU" w:bidi="ar-SA"/>
        </w:rPr>
        <w:t>mg/kg bw cyclophosphamide in physiological saline by intraperitoneal injection. Mice were killed on the 35</w:t>
      </w:r>
      <w:r w:rsidRPr="008C0160">
        <w:rPr>
          <w:vertAlign w:val="superscript"/>
          <w:lang w:eastAsia="en-AU" w:bidi="ar-SA"/>
        </w:rPr>
        <w:t>th</w:t>
      </w:r>
      <w:r w:rsidRPr="008C0160">
        <w:rPr>
          <w:lang w:eastAsia="en-AU" w:bidi="ar-SA"/>
        </w:rPr>
        <w:t xml:space="preserve"> day after the first dose, and epididymal smears were prepared, fixed with methanol and stained with 1% eosin. Sperm head morphology was assessed in 1000 sperm/mouse.  The frequencies of sperm abnormalities in the three groups treated with </w:t>
      </w:r>
      <w:r w:rsidR="00314D8F" w:rsidRPr="008C0160">
        <w:rPr>
          <w:lang w:eastAsia="en-AU" w:bidi="ar-SA"/>
        </w:rPr>
        <w:t xml:space="preserve">COS </w:t>
      </w:r>
      <w:r w:rsidRPr="008C0160">
        <w:rPr>
          <w:lang w:eastAsia="en-AU" w:bidi="ar-SA"/>
        </w:rPr>
        <w:t xml:space="preserve">were not significantly different to that of controls. In the positive control group, the frequency of sperm head abnormalities was significantly higher than in the negative control group or in the </w:t>
      </w:r>
      <w:r w:rsidR="00314D8F" w:rsidRPr="008C0160">
        <w:rPr>
          <w:lang w:eastAsia="en-AU" w:bidi="ar-SA"/>
        </w:rPr>
        <w:t>COS</w:t>
      </w:r>
      <w:r w:rsidRPr="008C0160">
        <w:rPr>
          <w:lang w:eastAsia="en-AU" w:bidi="ar-SA"/>
        </w:rPr>
        <w:t xml:space="preserve">-treated groups. </w:t>
      </w:r>
    </w:p>
    <w:p w14:paraId="259DB771" w14:textId="77777777" w:rsidR="00DF0BB1" w:rsidRPr="008C0160" w:rsidRDefault="00FE354D" w:rsidP="0017617B">
      <w:pPr>
        <w:pStyle w:val="Heading3"/>
      </w:pPr>
      <w:bookmarkStart w:id="61" w:name="_Toc476908571"/>
      <w:bookmarkStart w:id="62" w:name="_Toc478375793"/>
      <w:r w:rsidRPr="008C0160">
        <w:t>3.</w:t>
      </w:r>
      <w:r w:rsidR="00F05977" w:rsidRPr="008C0160">
        <w:t>2.4</w:t>
      </w:r>
      <w:r w:rsidRPr="008C0160">
        <w:tab/>
      </w:r>
      <w:r w:rsidR="00DF0BB1" w:rsidRPr="008C0160">
        <w:t>Other studies</w:t>
      </w:r>
      <w:bookmarkEnd w:id="61"/>
      <w:bookmarkEnd w:id="62"/>
    </w:p>
    <w:p w14:paraId="2E933B0D" w14:textId="77777777" w:rsidR="00DF0BB1" w:rsidRPr="008C0160" w:rsidRDefault="00DF0BB1" w:rsidP="00CF54F1">
      <w:pPr>
        <w:rPr>
          <w:i/>
          <w:lang w:eastAsia="en-AU" w:bidi="ar-SA"/>
        </w:rPr>
      </w:pPr>
      <w:r w:rsidRPr="008C0160">
        <w:rPr>
          <w:lang w:eastAsia="en-AU" w:bidi="ar-SA"/>
        </w:rPr>
        <w:t xml:space="preserve">EFSA (2010) reviewed a GLP study report of a bacterial reverse mutation assay (Ames test) of a </w:t>
      </w:r>
      <w:r w:rsidR="00422C68" w:rsidRPr="008C0160">
        <w:rPr>
          <w:lang w:eastAsia="en-AU" w:bidi="ar-SA"/>
        </w:rPr>
        <w:t xml:space="preserve">commercial </w:t>
      </w:r>
      <w:r w:rsidR="00A563F3" w:rsidRPr="008C0160">
        <w:rPr>
          <w:lang w:eastAsia="en-AU" w:bidi="ar-SA"/>
        </w:rPr>
        <w:t>chitin-glucan</w:t>
      </w:r>
      <w:r w:rsidRPr="008C0160">
        <w:rPr>
          <w:lang w:eastAsia="en-AU" w:bidi="ar-SA"/>
        </w:rPr>
        <w:t xml:space="preserve"> </w:t>
      </w:r>
      <w:r w:rsidR="00422C68" w:rsidRPr="008C0160">
        <w:rPr>
          <w:lang w:eastAsia="en-AU" w:bidi="ar-SA"/>
        </w:rPr>
        <w:t xml:space="preserve">preparation </w:t>
      </w:r>
      <w:r w:rsidR="00314D8F" w:rsidRPr="008C0160">
        <w:rPr>
          <w:lang w:eastAsia="en-AU" w:bidi="ar-SA"/>
        </w:rPr>
        <w:t xml:space="preserve">with the commercial name </w:t>
      </w:r>
      <w:r w:rsidRPr="008C0160">
        <w:rPr>
          <w:lang w:eastAsia="en-AU" w:bidi="ar-SA"/>
        </w:rPr>
        <w:t xml:space="preserve">KiOfine. KiOfine was non-mutagenic, with or without S9 fraction. EFSA (2010) also cited studies that showed a lack of genotoxicity of some compounds similar to </w:t>
      </w:r>
      <w:r w:rsidR="00A563F3" w:rsidRPr="008C0160">
        <w:rPr>
          <w:lang w:eastAsia="en-AU" w:bidi="ar-SA"/>
        </w:rPr>
        <w:t>chitin-glucan</w:t>
      </w:r>
      <w:r w:rsidRPr="008C0160">
        <w:rPr>
          <w:lang w:eastAsia="en-AU" w:bidi="ar-SA"/>
        </w:rPr>
        <w:t>; 6-O-carbo</w:t>
      </w:r>
      <w:r w:rsidR="00F84CBC" w:rsidRPr="008C0160">
        <w:rPr>
          <w:lang w:eastAsia="en-AU" w:bidi="ar-SA"/>
        </w:rPr>
        <w:t>x</w:t>
      </w:r>
      <w:r w:rsidRPr="008C0160">
        <w:rPr>
          <w:lang w:eastAsia="en-AU" w:bidi="ar-SA"/>
        </w:rPr>
        <w:t>ymethylchitin-glucan and</w:t>
      </w:r>
      <w:r w:rsidRPr="008C0160">
        <w:t xml:space="preserve"> </w:t>
      </w:r>
      <w:r w:rsidR="004E21B3">
        <w:rPr>
          <w:lang w:eastAsia="en-AU" w:bidi="ar-SA"/>
        </w:rPr>
        <w:t>b</w:t>
      </w:r>
      <w:r w:rsidR="00FF4A0B" w:rsidRPr="008C0160">
        <w:rPr>
          <w:lang w:eastAsia="en-AU" w:bidi="ar-SA"/>
        </w:rPr>
        <w:t xml:space="preserve">eta-glucan </w:t>
      </w:r>
      <w:r w:rsidRPr="008C0160">
        <w:rPr>
          <w:lang w:eastAsia="en-AU" w:bidi="ar-SA"/>
        </w:rPr>
        <w:t xml:space="preserve">from barley. </w:t>
      </w:r>
    </w:p>
    <w:p w14:paraId="614D22C2" w14:textId="77777777" w:rsidR="00813A90" w:rsidRPr="008C0160" w:rsidRDefault="00FE354D" w:rsidP="0017617B">
      <w:pPr>
        <w:pStyle w:val="Heading3"/>
      </w:pPr>
      <w:bookmarkStart w:id="63" w:name="_Toc472668683"/>
      <w:bookmarkStart w:id="64" w:name="_Toc476908572"/>
      <w:bookmarkStart w:id="65" w:name="_Toc478375794"/>
      <w:r w:rsidRPr="008C0160">
        <w:t>3.</w:t>
      </w:r>
      <w:r w:rsidR="00F05977" w:rsidRPr="008C0160">
        <w:t>3</w:t>
      </w:r>
      <w:r w:rsidRPr="008C0160">
        <w:tab/>
      </w:r>
      <w:r w:rsidR="00813A90" w:rsidRPr="008C0160">
        <w:t>Animal studies</w:t>
      </w:r>
      <w:bookmarkEnd w:id="63"/>
      <w:bookmarkEnd w:id="64"/>
      <w:bookmarkEnd w:id="65"/>
    </w:p>
    <w:p w14:paraId="673B5FCA" w14:textId="77777777" w:rsidR="007F3F77" w:rsidRPr="008C0160" w:rsidRDefault="00FE354D" w:rsidP="0017617B">
      <w:pPr>
        <w:pStyle w:val="Heading4"/>
      </w:pPr>
      <w:bookmarkStart w:id="66" w:name="_Toc472668684"/>
      <w:r w:rsidRPr="008C0160">
        <w:t>3</w:t>
      </w:r>
      <w:r w:rsidR="00F05977" w:rsidRPr="008C0160">
        <w:t>.3</w:t>
      </w:r>
      <w:r w:rsidRPr="008C0160">
        <w:t>.1</w:t>
      </w:r>
      <w:r w:rsidRPr="008C0160">
        <w:tab/>
      </w:r>
      <w:r w:rsidR="007F3F77" w:rsidRPr="008C0160">
        <w:t>General toxicology studies</w:t>
      </w:r>
      <w:bookmarkEnd w:id="66"/>
      <w:r w:rsidR="004E21B3">
        <w:t xml:space="preserve"> on chitin-glucan</w:t>
      </w:r>
      <w:r w:rsidR="007F3F77" w:rsidRPr="008C0160">
        <w:t xml:space="preserve"> </w:t>
      </w:r>
    </w:p>
    <w:p w14:paraId="6BD6B720" w14:textId="77777777" w:rsidR="007F3F77" w:rsidRPr="008C0160" w:rsidRDefault="007F3F77" w:rsidP="0017617B">
      <w:pPr>
        <w:pStyle w:val="Heading5"/>
      </w:pPr>
      <w:r w:rsidRPr="008C0160">
        <w:t xml:space="preserve">13-week dietary study </w:t>
      </w:r>
      <w:r w:rsidR="00F632EF" w:rsidRPr="008C0160">
        <w:t xml:space="preserve">of </w:t>
      </w:r>
      <w:r w:rsidR="00A563F3" w:rsidRPr="008C0160">
        <w:t>chitin-glucan</w:t>
      </w:r>
      <w:r w:rsidR="00F632EF" w:rsidRPr="008C0160">
        <w:t xml:space="preserve"> </w:t>
      </w:r>
      <w:r w:rsidRPr="008C0160">
        <w:t xml:space="preserve">in rats </w:t>
      </w:r>
    </w:p>
    <w:p w14:paraId="273C324C" w14:textId="77777777" w:rsidR="007F3F77" w:rsidRPr="008C0160" w:rsidRDefault="007F3F77" w:rsidP="007F3F77">
      <w:pPr>
        <w:rPr>
          <w:lang w:eastAsia="en-AU" w:bidi="ar-SA"/>
        </w:rPr>
      </w:pPr>
      <w:r w:rsidRPr="008C0160">
        <w:rPr>
          <w:lang w:eastAsia="en-AU" w:bidi="ar-SA"/>
        </w:rPr>
        <w:t xml:space="preserve">The test article for this study </w:t>
      </w:r>
      <w:r w:rsidR="00791EE9" w:rsidRPr="008C0160">
        <w:t>(Jonker et al. 2010)</w:t>
      </w:r>
      <w:r w:rsidR="00791EE9" w:rsidRPr="008C0160">
        <w:rPr>
          <w:i/>
        </w:rPr>
        <w:t xml:space="preserve"> </w:t>
      </w:r>
      <w:r w:rsidRPr="008C0160">
        <w:rPr>
          <w:lang w:eastAsia="en-AU" w:bidi="ar-SA"/>
        </w:rPr>
        <w:t xml:space="preserve">was </w:t>
      </w:r>
      <w:r w:rsidR="00A563F3" w:rsidRPr="008C0160">
        <w:rPr>
          <w:lang w:eastAsia="en-AU" w:bidi="ar-SA"/>
        </w:rPr>
        <w:t>chitin-glucan</w:t>
      </w:r>
      <w:r w:rsidRPr="008C0160">
        <w:rPr>
          <w:lang w:eastAsia="en-AU" w:bidi="ar-SA"/>
        </w:rPr>
        <w:t xml:space="preserve"> (94% purity; </w:t>
      </w:r>
      <w:r w:rsidR="0017617B" w:rsidRPr="008C0160">
        <w:rPr>
          <w:lang w:eastAsia="en-AU" w:bidi="ar-SA"/>
        </w:rPr>
        <w:t>chitin:</w:t>
      </w:r>
      <w:r w:rsidR="0017617B" w:rsidRPr="008C0160">
        <w:rPr>
          <w:rFonts w:cs="Arial"/>
          <w:lang w:eastAsia="en-AU" w:bidi="ar-SA"/>
        </w:rPr>
        <w:t xml:space="preserve"> </w:t>
      </w:r>
      <w:r w:rsidR="00367A1E">
        <w:rPr>
          <w:rFonts w:cs="Arial"/>
          <w:lang w:eastAsia="en-AU" w:bidi="ar-SA"/>
        </w:rPr>
        <w:t>b</w:t>
      </w:r>
      <w:r w:rsidR="00367A1E" w:rsidRPr="008C0160">
        <w:rPr>
          <w:rFonts w:cs="Arial"/>
          <w:lang w:eastAsia="en-AU" w:bidi="ar-SA"/>
        </w:rPr>
        <w:t>eta</w:t>
      </w:r>
      <w:r w:rsidR="00FF4A0B" w:rsidRPr="008C0160">
        <w:rPr>
          <w:rFonts w:cs="Arial"/>
          <w:lang w:eastAsia="en-AU" w:bidi="ar-SA"/>
        </w:rPr>
        <w:t xml:space="preserve">-glucan </w:t>
      </w:r>
      <w:r w:rsidRPr="008C0160">
        <w:rPr>
          <w:lang w:eastAsia="en-AU" w:bidi="ar-SA"/>
        </w:rPr>
        <w:t xml:space="preserve">30:70) derived from the mycelia of </w:t>
      </w:r>
      <w:r w:rsidRPr="008C0160">
        <w:rPr>
          <w:i/>
          <w:lang w:eastAsia="en-AU" w:bidi="ar-SA"/>
        </w:rPr>
        <w:t>A</w:t>
      </w:r>
      <w:r w:rsidR="00752B3B" w:rsidRPr="008C0160">
        <w:rPr>
          <w:i/>
          <w:lang w:eastAsia="en-AU" w:bidi="ar-SA"/>
        </w:rPr>
        <w:t>.</w:t>
      </w:r>
      <w:r w:rsidRPr="008C0160">
        <w:rPr>
          <w:i/>
          <w:lang w:eastAsia="en-AU" w:bidi="ar-SA"/>
        </w:rPr>
        <w:t xml:space="preserve"> niger</w:t>
      </w:r>
      <w:r w:rsidRPr="008C0160">
        <w:rPr>
          <w:lang w:eastAsia="en-AU" w:bidi="ar-SA"/>
        </w:rPr>
        <w:t xml:space="preserve">. Wistar rats, 20/sex/group, were individually housed under standard laboratory husbandry conditions. </w:t>
      </w:r>
      <w:r w:rsidR="00367B47" w:rsidRPr="008C0160">
        <w:rPr>
          <w:lang w:eastAsia="en-AU" w:bidi="ar-SA"/>
        </w:rPr>
        <w:t xml:space="preserve">Rats were approximately six weeks old at the start of treatment. </w:t>
      </w:r>
      <w:r w:rsidR="004E21B3">
        <w:rPr>
          <w:lang w:eastAsia="en-AU" w:bidi="ar-SA"/>
        </w:rPr>
        <w:t xml:space="preserve">Chitin-glucan concentrations in the diet </w:t>
      </w:r>
      <w:r w:rsidR="00367B47" w:rsidRPr="008C0160">
        <w:rPr>
          <w:lang w:eastAsia="en-AU" w:bidi="ar-SA"/>
        </w:rPr>
        <w:t xml:space="preserve">were 0, 1%, 5% and 10% w/w. Nutrient levels in the basal diet were in excess of requirements and allowed for 10% dilution. </w:t>
      </w:r>
      <w:r w:rsidR="003B1CDD" w:rsidRPr="008C0160">
        <w:rPr>
          <w:lang w:eastAsia="en-AU" w:bidi="ar-SA"/>
        </w:rPr>
        <w:t xml:space="preserve">Food and water were provided </w:t>
      </w:r>
      <w:r w:rsidR="003B1CDD" w:rsidRPr="008C0160">
        <w:rPr>
          <w:i/>
          <w:lang w:eastAsia="en-AU" w:bidi="ar-SA"/>
        </w:rPr>
        <w:t>ad libitum</w:t>
      </w:r>
      <w:r w:rsidR="003B1CDD" w:rsidRPr="008C0160">
        <w:rPr>
          <w:lang w:eastAsia="en-AU" w:bidi="ar-SA"/>
        </w:rPr>
        <w:t xml:space="preserve">. </w:t>
      </w:r>
    </w:p>
    <w:p w14:paraId="4B626833" w14:textId="77777777" w:rsidR="003B1CDD" w:rsidRPr="008C0160" w:rsidRDefault="003B1CDD" w:rsidP="007F3F77">
      <w:pPr>
        <w:rPr>
          <w:lang w:eastAsia="en-AU" w:bidi="ar-SA"/>
        </w:rPr>
      </w:pPr>
    </w:p>
    <w:p w14:paraId="19443729" w14:textId="77777777" w:rsidR="003B1CDD" w:rsidRPr="008C0160" w:rsidRDefault="003B1CDD" w:rsidP="007F3F77">
      <w:pPr>
        <w:rPr>
          <w:lang w:eastAsia="en-AU" w:bidi="ar-SA"/>
        </w:rPr>
      </w:pPr>
      <w:r w:rsidRPr="008C0160">
        <w:rPr>
          <w:lang w:eastAsia="en-AU" w:bidi="ar-SA"/>
        </w:rPr>
        <w:t xml:space="preserve">During the study rats were subject to daily clinical observations and weekly detailed examinations. </w:t>
      </w:r>
      <w:r w:rsidR="00422C68" w:rsidRPr="008C0160">
        <w:rPr>
          <w:lang w:eastAsia="en-AU" w:bidi="ar-SA"/>
        </w:rPr>
        <w:t>In Week 13, 10 rats/sex/ group were subject to</w:t>
      </w:r>
      <w:r w:rsidRPr="008C0160">
        <w:rPr>
          <w:lang w:eastAsia="en-AU" w:bidi="ar-SA"/>
        </w:rPr>
        <w:t xml:space="preserve"> functional observational battery and motor </w:t>
      </w:r>
      <w:r w:rsidR="00342503" w:rsidRPr="008C0160">
        <w:rPr>
          <w:lang w:eastAsia="en-AU" w:bidi="ar-SA"/>
        </w:rPr>
        <w:t>activity</w:t>
      </w:r>
      <w:r w:rsidRPr="008C0160">
        <w:rPr>
          <w:lang w:eastAsia="en-AU" w:bidi="ar-SA"/>
        </w:rPr>
        <w:t xml:space="preserve"> assessment. Body weights and feed consumption were determined weekly. </w:t>
      </w:r>
      <w:r w:rsidR="00891530" w:rsidRPr="008C0160">
        <w:rPr>
          <w:lang w:eastAsia="en-AU" w:bidi="ar-SA"/>
        </w:rPr>
        <w:t xml:space="preserve">Water consumption was measured daily for 5-day periods during weeks 1, 6 and 12. </w:t>
      </w:r>
      <w:r w:rsidR="00342503" w:rsidRPr="008C0160">
        <w:rPr>
          <w:lang w:eastAsia="en-AU" w:bidi="ar-SA"/>
        </w:rPr>
        <w:t xml:space="preserve">All rats on study were subject to ophthalmological examination pre-study and during Week 13. </w:t>
      </w:r>
      <w:r w:rsidR="00891530" w:rsidRPr="008C0160">
        <w:rPr>
          <w:lang w:eastAsia="en-AU" w:bidi="ar-SA"/>
        </w:rPr>
        <w:t>Standard haematology and clinical chemistry parameters were determined for 10 rats/sex/group on Day 8, approximately mid-study and at scheduled termination. Urine was collected from the same rats during Week 13 for urinalysis and examination of sediment. At scheduled termination, adrenals, brain, full and empty caecum, epididymides, heart, kidneys, liver, ovaries, spleen, testes, thymus, thyroid with parathyroids</w:t>
      </w:r>
      <w:r w:rsidR="003270F8" w:rsidRPr="008C0160">
        <w:rPr>
          <w:lang w:eastAsia="en-AU" w:bidi="ar-SA"/>
        </w:rPr>
        <w:t>,</w:t>
      </w:r>
      <w:r w:rsidR="00891530" w:rsidRPr="008C0160">
        <w:rPr>
          <w:lang w:eastAsia="en-AU" w:bidi="ar-SA"/>
        </w:rPr>
        <w:t xml:space="preserve"> and uterus </w:t>
      </w:r>
      <w:r w:rsidR="00342503" w:rsidRPr="008C0160">
        <w:rPr>
          <w:lang w:eastAsia="en-AU" w:bidi="ar-SA"/>
        </w:rPr>
        <w:t xml:space="preserve">were weighed. </w:t>
      </w:r>
      <w:r w:rsidR="000179A0" w:rsidRPr="008C0160">
        <w:rPr>
          <w:lang w:eastAsia="en-AU" w:bidi="ar-SA"/>
        </w:rPr>
        <w:t>A comprehensive list of organs was</w:t>
      </w:r>
      <w:r w:rsidR="00342503" w:rsidRPr="008C0160">
        <w:rPr>
          <w:lang w:eastAsia="en-AU" w:bidi="ar-SA"/>
        </w:rPr>
        <w:t xml:space="preserve"> preserved for histopathology. </w:t>
      </w:r>
    </w:p>
    <w:p w14:paraId="6904D012" w14:textId="77777777" w:rsidR="00342503" w:rsidRPr="008C0160" w:rsidRDefault="00342503" w:rsidP="007F3F77">
      <w:pPr>
        <w:rPr>
          <w:lang w:eastAsia="en-AU" w:bidi="ar-SA"/>
        </w:rPr>
      </w:pPr>
    </w:p>
    <w:p w14:paraId="78AF3ADF" w14:textId="77777777" w:rsidR="00342503" w:rsidRPr="008C0160" w:rsidRDefault="00342503" w:rsidP="007F3F77">
      <w:pPr>
        <w:rPr>
          <w:lang w:eastAsia="en-AU" w:bidi="ar-SA"/>
        </w:rPr>
      </w:pPr>
      <w:r w:rsidRPr="008C0160">
        <w:rPr>
          <w:lang w:eastAsia="en-AU" w:bidi="ar-SA"/>
        </w:rPr>
        <w:t xml:space="preserve">Analysis showed that actual </w:t>
      </w:r>
      <w:r w:rsidR="00A563F3" w:rsidRPr="008C0160">
        <w:rPr>
          <w:lang w:eastAsia="en-AU" w:bidi="ar-SA"/>
        </w:rPr>
        <w:t>chitin-glucan</w:t>
      </w:r>
      <w:r w:rsidRPr="008C0160">
        <w:rPr>
          <w:lang w:eastAsia="en-AU" w:bidi="ar-SA"/>
        </w:rPr>
        <w:t xml:space="preserve"> contents of the feed were close to target </w:t>
      </w:r>
      <w:r w:rsidRPr="008C0160">
        <w:rPr>
          <w:lang w:eastAsia="en-AU" w:bidi="ar-SA"/>
        </w:rPr>
        <w:lastRenderedPageBreak/>
        <w:t>concentrations and that the test article was homogeneously distributed in the feed.</w:t>
      </w:r>
      <w:r w:rsidR="00767D1E" w:rsidRPr="008C0160">
        <w:rPr>
          <w:lang w:eastAsia="en-AU" w:bidi="ar-SA"/>
        </w:rPr>
        <w:t xml:space="preserve"> The overall mean daily intake of </w:t>
      </w:r>
      <w:r w:rsidR="00A563F3" w:rsidRPr="008C0160">
        <w:rPr>
          <w:lang w:eastAsia="en-AU" w:bidi="ar-SA"/>
        </w:rPr>
        <w:t>chitin-glucan</w:t>
      </w:r>
      <w:r w:rsidR="00767D1E" w:rsidRPr="008C0160">
        <w:rPr>
          <w:lang w:eastAsia="en-AU" w:bidi="ar-SA"/>
        </w:rPr>
        <w:t xml:space="preserve"> in the 10% group was 6.6 g/kg bw in male rats and 7.0 g/kg bw in female rats. In the 5% group, the mean daily intakes </w:t>
      </w:r>
      <w:r w:rsidR="003270F8" w:rsidRPr="008C0160">
        <w:rPr>
          <w:lang w:eastAsia="en-AU" w:bidi="ar-SA"/>
        </w:rPr>
        <w:t>were 3.2</w:t>
      </w:r>
      <w:r w:rsidR="00767D1E" w:rsidRPr="008C0160">
        <w:rPr>
          <w:lang w:eastAsia="en-AU" w:bidi="ar-SA"/>
        </w:rPr>
        <w:t xml:space="preserve"> g/kg bw in males and 3.4 g/kg bw in females. In the 1% group, mean daily intakes were 0.63 g/kg bw in males and 0.68 g/kg bw in females. </w:t>
      </w:r>
    </w:p>
    <w:p w14:paraId="75727246" w14:textId="77777777" w:rsidR="00342503" w:rsidRPr="008C0160" w:rsidRDefault="00342503" w:rsidP="007F3F77">
      <w:pPr>
        <w:rPr>
          <w:lang w:eastAsia="en-AU" w:bidi="ar-SA"/>
        </w:rPr>
      </w:pPr>
    </w:p>
    <w:p w14:paraId="4296CB9C" w14:textId="77777777" w:rsidR="00342503" w:rsidRPr="008C0160" w:rsidRDefault="00342503" w:rsidP="007F3F77">
      <w:pPr>
        <w:rPr>
          <w:lang w:eastAsia="en-AU" w:bidi="ar-SA"/>
        </w:rPr>
      </w:pPr>
      <w:r w:rsidRPr="008C0160">
        <w:rPr>
          <w:lang w:eastAsia="en-AU" w:bidi="ar-SA"/>
        </w:rPr>
        <w:t xml:space="preserve">There were no treatment-related effects on clinical observations, motor activity, or performance during the functional observational battery, and no treatment-related ophthalmological findings. </w:t>
      </w:r>
      <w:r w:rsidR="003270F8" w:rsidRPr="008C0160">
        <w:rPr>
          <w:lang w:eastAsia="en-AU" w:bidi="ar-SA"/>
        </w:rPr>
        <w:t>There were no significant differences in mean body weight</w:t>
      </w:r>
      <w:r w:rsidR="00314D8F" w:rsidRPr="008C0160">
        <w:rPr>
          <w:lang w:eastAsia="en-AU" w:bidi="ar-SA"/>
        </w:rPr>
        <w:t>. R</w:t>
      </w:r>
      <w:r w:rsidR="003270F8" w:rsidRPr="008C0160">
        <w:rPr>
          <w:lang w:eastAsia="en-AU" w:bidi="ar-SA"/>
        </w:rPr>
        <w:t xml:space="preserve">ats in the 10% group consumed slightly more feed than rats in the control group. Water consumption was increased in males at all dose levels and in females in the 5% and 10% groups, although the difference from controls was not always statistically significant. No treatment-related changes were found in haematology, clinical chemistry, urinalysis or urine sediment. </w:t>
      </w:r>
    </w:p>
    <w:p w14:paraId="2E0DF3F8" w14:textId="77777777" w:rsidR="003270F8" w:rsidRPr="008C0160" w:rsidRDefault="003270F8" w:rsidP="007F3F77">
      <w:pPr>
        <w:rPr>
          <w:lang w:eastAsia="en-AU" w:bidi="ar-SA"/>
        </w:rPr>
      </w:pPr>
    </w:p>
    <w:p w14:paraId="685531D4" w14:textId="77777777" w:rsidR="003270F8" w:rsidRPr="008C0160" w:rsidRDefault="00907F8C" w:rsidP="007F3F77">
      <w:pPr>
        <w:rPr>
          <w:lang w:eastAsia="en-AU" w:bidi="ar-SA"/>
        </w:rPr>
      </w:pPr>
      <w:r w:rsidRPr="008C0160">
        <w:rPr>
          <w:lang w:eastAsia="en-AU" w:bidi="ar-SA"/>
        </w:rPr>
        <w:t xml:space="preserve">Weights of full and empty caeca were significantly increased in males consuming </w:t>
      </w:r>
      <w:r w:rsidRPr="008C0160">
        <w:rPr>
          <w:rFonts w:cs="Arial"/>
          <w:lang w:eastAsia="en-AU" w:bidi="ar-SA"/>
        </w:rPr>
        <w:t>≥</w:t>
      </w:r>
      <w:r w:rsidRPr="008C0160">
        <w:rPr>
          <w:lang w:eastAsia="en-AU" w:bidi="ar-SA"/>
        </w:rPr>
        <w:t xml:space="preserve"> 5% </w:t>
      </w:r>
      <w:r w:rsidR="00A563F3" w:rsidRPr="008C0160">
        <w:rPr>
          <w:lang w:eastAsia="en-AU" w:bidi="ar-SA"/>
        </w:rPr>
        <w:t>chitin-glucan</w:t>
      </w:r>
      <w:r w:rsidRPr="008C0160">
        <w:rPr>
          <w:lang w:eastAsia="en-AU" w:bidi="ar-SA"/>
        </w:rPr>
        <w:t xml:space="preserve"> and in females consuming 10% </w:t>
      </w:r>
      <w:r w:rsidR="00A563F3" w:rsidRPr="008C0160">
        <w:rPr>
          <w:lang w:eastAsia="en-AU" w:bidi="ar-SA"/>
        </w:rPr>
        <w:t>chitin-glucan</w:t>
      </w:r>
      <w:r w:rsidR="00437C79" w:rsidRPr="008C0160">
        <w:rPr>
          <w:lang w:eastAsia="en-AU" w:bidi="ar-SA"/>
        </w:rPr>
        <w:t>, but there were no histopathological changes in the caecal walls</w:t>
      </w:r>
      <w:r w:rsidRPr="008C0160">
        <w:rPr>
          <w:lang w:eastAsia="en-AU" w:bidi="ar-SA"/>
        </w:rPr>
        <w:t xml:space="preserve">. Other organ weights showed no effects of treatment. There were no gross or microscopic changes attributable to consumption of </w:t>
      </w:r>
      <w:r w:rsidR="00A563F3" w:rsidRPr="008C0160">
        <w:rPr>
          <w:lang w:eastAsia="en-AU" w:bidi="ar-SA"/>
        </w:rPr>
        <w:t>chitin-glucan</w:t>
      </w:r>
      <w:r w:rsidRPr="008C0160">
        <w:rPr>
          <w:lang w:eastAsia="en-AU" w:bidi="ar-SA"/>
        </w:rPr>
        <w:t xml:space="preserve"> in any organs. </w:t>
      </w:r>
    </w:p>
    <w:p w14:paraId="27658FD2" w14:textId="77777777" w:rsidR="00437C79" w:rsidRPr="008C0160" w:rsidRDefault="00437C79" w:rsidP="007F3F77">
      <w:pPr>
        <w:rPr>
          <w:lang w:eastAsia="en-AU" w:bidi="ar-SA"/>
        </w:rPr>
      </w:pPr>
    </w:p>
    <w:p w14:paraId="7E4B4427" w14:textId="77777777" w:rsidR="00437C79" w:rsidRPr="008C0160" w:rsidRDefault="00437C79" w:rsidP="007F3F77">
      <w:pPr>
        <w:rPr>
          <w:lang w:eastAsia="en-AU" w:bidi="ar-SA"/>
        </w:rPr>
      </w:pPr>
      <w:r w:rsidRPr="008C0160">
        <w:rPr>
          <w:lang w:eastAsia="en-AU" w:bidi="ar-SA"/>
        </w:rPr>
        <w:t xml:space="preserve">Caecal enlargement is a common response in rats </w:t>
      </w:r>
      <w:r w:rsidR="00314D8F" w:rsidRPr="008C0160">
        <w:rPr>
          <w:lang w:eastAsia="en-AU" w:bidi="ar-SA"/>
        </w:rPr>
        <w:t xml:space="preserve">to a diet containing </w:t>
      </w:r>
      <w:r w:rsidR="0017617B" w:rsidRPr="008C0160">
        <w:rPr>
          <w:lang w:eastAsia="en-AU" w:bidi="ar-SA"/>
        </w:rPr>
        <w:t>a large</w:t>
      </w:r>
      <w:r w:rsidRPr="008C0160">
        <w:rPr>
          <w:lang w:eastAsia="en-AU" w:bidi="ar-SA"/>
        </w:rPr>
        <w:t xml:space="preserve"> amount of carbohydrate that is poorly digested or absorbed. It is not considered to be a change of toxicological concern. </w:t>
      </w:r>
      <w:r w:rsidR="0017617B" w:rsidRPr="008C0160">
        <w:rPr>
          <w:lang w:eastAsia="en-AU" w:bidi="ar-SA"/>
        </w:rPr>
        <w:t>Similarly,</w:t>
      </w:r>
      <w:r w:rsidRPr="008C0160">
        <w:rPr>
          <w:lang w:eastAsia="en-AU" w:bidi="ar-SA"/>
        </w:rPr>
        <w:t xml:space="preserve"> the higher food consumption was not regarded as toxicologically significant because it was a predictable response to a diet with a lower energy density than that of controls. The increased water consumption was not associated with any renal dysfunction or disease state associated with polydipsia, such as diabetes, and was therefore not considered to be an adverse effect. </w:t>
      </w:r>
    </w:p>
    <w:p w14:paraId="28827658" w14:textId="77777777" w:rsidR="00437C79" w:rsidRPr="008C0160" w:rsidRDefault="00437C79" w:rsidP="007F3F77">
      <w:pPr>
        <w:rPr>
          <w:lang w:eastAsia="en-AU" w:bidi="ar-SA"/>
        </w:rPr>
      </w:pPr>
    </w:p>
    <w:p w14:paraId="3002D048" w14:textId="77777777" w:rsidR="007E430C" w:rsidRPr="008C0160" w:rsidRDefault="00437C79" w:rsidP="007F3F77">
      <w:pPr>
        <w:rPr>
          <w:lang w:eastAsia="en-AU" w:bidi="ar-SA"/>
        </w:rPr>
      </w:pPr>
      <w:r w:rsidRPr="008C0160">
        <w:rPr>
          <w:lang w:eastAsia="en-AU" w:bidi="ar-SA"/>
        </w:rPr>
        <w:t xml:space="preserve">It was concluded that the highest </w:t>
      </w:r>
      <w:r w:rsidR="006077DA">
        <w:rPr>
          <w:lang w:eastAsia="en-AU" w:bidi="ar-SA"/>
        </w:rPr>
        <w:t>concentration in the diet</w:t>
      </w:r>
      <w:r w:rsidRPr="008C0160">
        <w:rPr>
          <w:lang w:eastAsia="en-AU" w:bidi="ar-SA"/>
        </w:rPr>
        <w:t xml:space="preserve">, 10% w/w </w:t>
      </w:r>
      <w:r w:rsidR="00A563F3" w:rsidRPr="008C0160">
        <w:rPr>
          <w:lang w:eastAsia="en-AU" w:bidi="ar-SA"/>
        </w:rPr>
        <w:t>chitin-glucan</w:t>
      </w:r>
      <w:r w:rsidRPr="008C0160">
        <w:rPr>
          <w:lang w:eastAsia="en-AU" w:bidi="ar-SA"/>
        </w:rPr>
        <w:t xml:space="preserve">, equivalent to </w:t>
      </w:r>
      <w:r w:rsidR="006077DA">
        <w:rPr>
          <w:lang w:eastAsia="en-AU" w:bidi="ar-SA"/>
        </w:rPr>
        <w:t xml:space="preserve">doses of </w:t>
      </w:r>
      <w:r w:rsidRPr="008C0160">
        <w:rPr>
          <w:lang w:eastAsia="en-AU" w:bidi="ar-SA"/>
        </w:rPr>
        <w:t>6.6 and 7.0</w:t>
      </w:r>
      <w:r w:rsidR="004E21B3">
        <w:rPr>
          <w:lang w:eastAsia="en-AU" w:bidi="ar-SA"/>
        </w:rPr>
        <w:t> </w:t>
      </w:r>
      <w:r w:rsidR="00367A1E">
        <w:rPr>
          <w:lang w:eastAsia="en-AU" w:bidi="ar-SA"/>
        </w:rPr>
        <w:t>g</w:t>
      </w:r>
      <w:r w:rsidRPr="008C0160">
        <w:rPr>
          <w:lang w:eastAsia="en-AU" w:bidi="ar-SA"/>
        </w:rPr>
        <w:t>/kg bw</w:t>
      </w:r>
      <w:r w:rsidR="004E21B3">
        <w:rPr>
          <w:lang w:eastAsia="en-AU" w:bidi="ar-SA"/>
        </w:rPr>
        <w:t xml:space="preserve">/day </w:t>
      </w:r>
      <w:r w:rsidRPr="008C0160">
        <w:rPr>
          <w:lang w:eastAsia="en-AU" w:bidi="ar-SA"/>
        </w:rPr>
        <w:t xml:space="preserve">in male and female rats respectively, was the </w:t>
      </w:r>
      <w:r w:rsidR="006077DA">
        <w:rPr>
          <w:lang w:eastAsia="en-AU" w:bidi="ar-SA"/>
        </w:rPr>
        <w:t>no observed adverse effect level (</w:t>
      </w:r>
      <w:r w:rsidRPr="008C0160">
        <w:rPr>
          <w:lang w:eastAsia="en-AU" w:bidi="ar-SA"/>
        </w:rPr>
        <w:t>NOAEL</w:t>
      </w:r>
      <w:r w:rsidR="006077DA">
        <w:rPr>
          <w:lang w:eastAsia="en-AU" w:bidi="ar-SA"/>
        </w:rPr>
        <w:t>)</w:t>
      </w:r>
      <w:r w:rsidRPr="008C0160">
        <w:rPr>
          <w:lang w:eastAsia="en-AU" w:bidi="ar-SA"/>
        </w:rPr>
        <w:t xml:space="preserve"> in this study. </w:t>
      </w:r>
    </w:p>
    <w:p w14:paraId="76FD2A7A" w14:textId="77777777" w:rsidR="00342503" w:rsidRPr="008C0160" w:rsidRDefault="007E430C" w:rsidP="0017617B">
      <w:pPr>
        <w:pStyle w:val="Heading5"/>
      </w:pPr>
      <w:r w:rsidRPr="008C0160">
        <w:t xml:space="preserve">12-week dietary study </w:t>
      </w:r>
      <w:r w:rsidR="00F632EF" w:rsidRPr="008C0160">
        <w:t xml:space="preserve">of </w:t>
      </w:r>
      <w:r w:rsidR="00A563F3" w:rsidRPr="008C0160">
        <w:t>chitin-glucan</w:t>
      </w:r>
      <w:r w:rsidR="00F632EF" w:rsidRPr="008C0160">
        <w:t xml:space="preserve"> </w:t>
      </w:r>
      <w:r w:rsidRPr="008C0160">
        <w:t xml:space="preserve">in hamsters </w:t>
      </w:r>
    </w:p>
    <w:p w14:paraId="69537FBB" w14:textId="77777777" w:rsidR="007E430C" w:rsidRPr="008C0160" w:rsidRDefault="007E430C" w:rsidP="007F3F77">
      <w:pPr>
        <w:rPr>
          <w:lang w:eastAsia="en-AU" w:bidi="ar-SA"/>
        </w:rPr>
      </w:pPr>
      <w:r w:rsidRPr="008C0160">
        <w:rPr>
          <w:lang w:eastAsia="en-AU" w:bidi="ar-SA"/>
        </w:rPr>
        <w:t xml:space="preserve">This study </w:t>
      </w:r>
      <w:r w:rsidR="007E45EB" w:rsidRPr="008C0160">
        <w:t>(Berecochea-Lopez et al. 2009)</w:t>
      </w:r>
      <w:r w:rsidR="00791EE9" w:rsidRPr="008C0160">
        <w:rPr>
          <w:i/>
        </w:rPr>
        <w:t xml:space="preserve"> </w:t>
      </w:r>
      <w:r w:rsidRPr="008C0160">
        <w:rPr>
          <w:lang w:eastAsia="en-AU" w:bidi="ar-SA"/>
        </w:rPr>
        <w:t>was designed as an efficacy study rather than a toxicology study, although the parameters measured include some pertinent to toxicology.</w:t>
      </w:r>
    </w:p>
    <w:p w14:paraId="43581B0D" w14:textId="77777777" w:rsidR="007E430C" w:rsidRPr="008C0160" w:rsidRDefault="007E430C" w:rsidP="007F3F77">
      <w:pPr>
        <w:rPr>
          <w:lang w:eastAsia="en-AU" w:bidi="ar-SA"/>
        </w:rPr>
      </w:pPr>
    </w:p>
    <w:p w14:paraId="26128DB4" w14:textId="77777777" w:rsidR="007E430C" w:rsidRPr="008C0160" w:rsidRDefault="007E430C" w:rsidP="007E430C">
      <w:pPr>
        <w:rPr>
          <w:lang w:eastAsia="en-AU" w:bidi="ar-SA"/>
        </w:rPr>
      </w:pPr>
      <w:r w:rsidRPr="008C0160">
        <w:rPr>
          <w:lang w:eastAsia="en-AU" w:bidi="ar-SA"/>
        </w:rPr>
        <w:t xml:space="preserve">Male Syrian golden hamsters, 12/group, were </w:t>
      </w:r>
      <w:r w:rsidR="009736C9" w:rsidRPr="008C0160">
        <w:rPr>
          <w:lang w:eastAsia="en-AU" w:bidi="ar-SA"/>
        </w:rPr>
        <w:t xml:space="preserve">randomly </w:t>
      </w:r>
      <w:r w:rsidRPr="008C0160">
        <w:rPr>
          <w:lang w:eastAsia="en-AU" w:bidi="ar-SA"/>
        </w:rPr>
        <w:t xml:space="preserve">assigned to three treatment groups. They were maintained under standard laboratory husbandry conditions and provided with food and water </w:t>
      </w:r>
      <w:r w:rsidRPr="008C0160">
        <w:rPr>
          <w:i/>
          <w:lang w:eastAsia="en-AU" w:bidi="ar-SA"/>
        </w:rPr>
        <w:t>ad libitum</w:t>
      </w:r>
      <w:r w:rsidRPr="008C0160">
        <w:rPr>
          <w:lang w:eastAsia="en-AU" w:bidi="ar-SA"/>
        </w:rPr>
        <w:t xml:space="preserve">. </w:t>
      </w:r>
      <w:r w:rsidR="00AE5274" w:rsidRPr="008C0160">
        <w:rPr>
          <w:lang w:eastAsia="en-AU" w:bidi="ar-SA"/>
        </w:rPr>
        <w:t>The diet was a hyperlipidaemic diet with a cholesterol content of 0.5% and a supplement of 15% lard at the expense of starch and sucrose. No selenium, vitamin C or vitamin E was added to the diet</w:t>
      </w:r>
      <w:r w:rsidR="00F14DC3">
        <w:rPr>
          <w:lang w:eastAsia="en-AU" w:bidi="ar-SA"/>
        </w:rPr>
        <w:t xml:space="preserve"> to moderate oxidative processes</w:t>
      </w:r>
      <w:r w:rsidR="00AE5274" w:rsidRPr="008C0160">
        <w:rPr>
          <w:lang w:eastAsia="en-AU" w:bidi="ar-SA"/>
        </w:rPr>
        <w:t>. The control group w</w:t>
      </w:r>
      <w:r w:rsidR="007A49A8">
        <w:rPr>
          <w:lang w:eastAsia="en-AU" w:bidi="ar-SA"/>
        </w:rPr>
        <w:t>as</w:t>
      </w:r>
      <w:r w:rsidR="00AE5274" w:rsidRPr="008C0160">
        <w:rPr>
          <w:lang w:eastAsia="en-AU" w:bidi="ar-SA"/>
        </w:rPr>
        <w:t xml:space="preserve"> gavaged with water daily, while the treatment groups were gavaged with suspensions of </w:t>
      </w:r>
      <w:r w:rsidR="00A563F3" w:rsidRPr="008C0160">
        <w:rPr>
          <w:lang w:eastAsia="en-AU" w:bidi="ar-SA"/>
        </w:rPr>
        <w:t>chitin-glucan</w:t>
      </w:r>
      <w:r w:rsidR="00AE5274" w:rsidRPr="008C0160">
        <w:rPr>
          <w:lang w:eastAsia="en-AU" w:bidi="ar-SA"/>
        </w:rPr>
        <w:t xml:space="preserve"> in water, at either 21.4 mg/kg bw</w:t>
      </w:r>
      <w:r w:rsidR="004E21B3">
        <w:rPr>
          <w:lang w:eastAsia="en-AU" w:bidi="ar-SA"/>
        </w:rPr>
        <w:t>/day</w:t>
      </w:r>
      <w:r w:rsidR="004C7571">
        <w:rPr>
          <w:lang w:eastAsia="en-AU" w:bidi="ar-SA"/>
        </w:rPr>
        <w:t xml:space="preserve"> </w:t>
      </w:r>
      <w:r w:rsidR="00AE5274" w:rsidRPr="008C0160">
        <w:rPr>
          <w:lang w:eastAsia="en-AU" w:bidi="ar-SA"/>
        </w:rPr>
        <w:t>or 42.8 mg/kg bw</w:t>
      </w:r>
      <w:r w:rsidR="004E21B3">
        <w:rPr>
          <w:lang w:eastAsia="en-AU" w:bidi="ar-SA"/>
        </w:rPr>
        <w:t>/day.</w:t>
      </w:r>
      <w:r w:rsidR="00AE5274" w:rsidRPr="008C0160">
        <w:rPr>
          <w:lang w:eastAsia="en-AU" w:bidi="ar-SA"/>
        </w:rPr>
        <w:t xml:space="preserve"> The doses of </w:t>
      </w:r>
      <w:r w:rsidR="00A563F3" w:rsidRPr="008C0160">
        <w:rPr>
          <w:lang w:eastAsia="en-AU" w:bidi="ar-SA"/>
        </w:rPr>
        <w:t>chitin-glucan</w:t>
      </w:r>
      <w:r w:rsidR="00AE5274" w:rsidRPr="008C0160">
        <w:rPr>
          <w:lang w:eastAsia="en-AU" w:bidi="ar-SA"/>
        </w:rPr>
        <w:t xml:space="preserve"> were selected as being equivalent to 1.5 or 3.0 g</w:t>
      </w:r>
      <w:r w:rsidR="004E21B3">
        <w:rPr>
          <w:lang w:eastAsia="en-AU" w:bidi="ar-SA"/>
        </w:rPr>
        <w:t>/day</w:t>
      </w:r>
      <w:r w:rsidR="004C7571">
        <w:rPr>
          <w:lang w:eastAsia="en-AU" w:bidi="ar-SA"/>
        </w:rPr>
        <w:t xml:space="preserve"> </w:t>
      </w:r>
      <w:r w:rsidR="00AE5274" w:rsidRPr="008C0160">
        <w:rPr>
          <w:lang w:eastAsia="en-AU" w:bidi="ar-SA"/>
        </w:rPr>
        <w:t xml:space="preserve">for a 70 kg human being. </w:t>
      </w:r>
    </w:p>
    <w:p w14:paraId="30D2ECE9" w14:textId="77777777" w:rsidR="00AE5274" w:rsidRPr="008C0160" w:rsidRDefault="00AE5274" w:rsidP="007E430C">
      <w:pPr>
        <w:rPr>
          <w:lang w:eastAsia="en-AU" w:bidi="ar-SA"/>
        </w:rPr>
      </w:pPr>
    </w:p>
    <w:p w14:paraId="26D77B2A" w14:textId="77777777" w:rsidR="00AE5274" w:rsidRPr="008C0160" w:rsidRDefault="00AE5274" w:rsidP="007E430C">
      <w:pPr>
        <w:rPr>
          <w:lang w:eastAsia="en-AU" w:bidi="ar-SA"/>
        </w:rPr>
      </w:pPr>
      <w:r w:rsidRPr="008C0160">
        <w:rPr>
          <w:lang w:eastAsia="en-AU" w:bidi="ar-SA"/>
        </w:rPr>
        <w:t xml:space="preserve">Food consumption was measured daily. At the end of the 12-week treatment </w:t>
      </w:r>
      <w:r w:rsidR="00D150AA" w:rsidRPr="008C0160">
        <w:rPr>
          <w:lang w:eastAsia="en-AU" w:bidi="ar-SA"/>
        </w:rPr>
        <w:t>period</w:t>
      </w:r>
      <w:r w:rsidRPr="008C0160">
        <w:rPr>
          <w:lang w:eastAsia="en-AU" w:bidi="ar-SA"/>
        </w:rPr>
        <w:t>, hamsters were fasted overnight, bled by cardiac puncture, and killed. The liver was perfused with 0.15 mol/L KCl</w:t>
      </w:r>
      <w:r w:rsidR="008C0160" w:rsidRPr="008C0160">
        <w:rPr>
          <w:lang w:eastAsia="en-AU" w:bidi="ar-SA"/>
        </w:rPr>
        <w:t xml:space="preserve">, </w:t>
      </w:r>
      <w:r w:rsidRPr="008C0160">
        <w:rPr>
          <w:i/>
          <w:lang w:eastAsia="en-AU" w:bidi="ar-SA"/>
        </w:rPr>
        <w:t>in situ</w:t>
      </w:r>
      <w:r w:rsidRPr="008C0160">
        <w:rPr>
          <w:lang w:eastAsia="en-AU" w:bidi="ar-SA"/>
        </w:rPr>
        <w:t>, removed, weighed, and sectioned. The liver was further processed for histopathology and for assays of glutathione peroxidase</w:t>
      </w:r>
      <w:r w:rsidR="001E06C8" w:rsidRPr="008C0160">
        <w:rPr>
          <w:lang w:eastAsia="en-AU" w:bidi="ar-SA"/>
        </w:rPr>
        <w:t xml:space="preserve"> activity</w:t>
      </w:r>
      <w:r w:rsidRPr="008C0160">
        <w:rPr>
          <w:lang w:eastAsia="en-AU" w:bidi="ar-SA"/>
        </w:rPr>
        <w:t>, superoxide dismutase</w:t>
      </w:r>
      <w:r w:rsidR="001E06C8" w:rsidRPr="008C0160">
        <w:rPr>
          <w:lang w:eastAsia="en-AU" w:bidi="ar-SA"/>
        </w:rPr>
        <w:t xml:space="preserve"> activity</w:t>
      </w:r>
      <w:r w:rsidRPr="008C0160">
        <w:rPr>
          <w:lang w:eastAsia="en-AU" w:bidi="ar-SA"/>
        </w:rPr>
        <w:t>, malondialdehyde</w:t>
      </w:r>
      <w:r w:rsidR="001E06C8" w:rsidRPr="008C0160">
        <w:rPr>
          <w:lang w:eastAsia="en-AU" w:bidi="ar-SA"/>
        </w:rPr>
        <w:t xml:space="preserve">, </w:t>
      </w:r>
      <w:r w:rsidR="0089410F" w:rsidRPr="008C0160">
        <w:rPr>
          <w:lang w:eastAsia="en-AU" w:bidi="ar-SA"/>
        </w:rPr>
        <w:t xml:space="preserve">and </w:t>
      </w:r>
      <w:r w:rsidR="001E06C8" w:rsidRPr="008C0160">
        <w:rPr>
          <w:lang w:eastAsia="en-AU" w:bidi="ar-SA"/>
        </w:rPr>
        <w:t>cytosolic protein concentration</w:t>
      </w:r>
      <w:r w:rsidR="0089410F" w:rsidRPr="008C0160">
        <w:rPr>
          <w:lang w:eastAsia="en-AU" w:bidi="ar-SA"/>
        </w:rPr>
        <w:t>. The left ventricle of the heart was collected for measurement of</w:t>
      </w:r>
      <w:r w:rsidR="001E06C8" w:rsidRPr="008C0160">
        <w:rPr>
          <w:lang w:eastAsia="en-AU" w:bidi="ar-SA"/>
        </w:rPr>
        <w:t xml:space="preserve"> superoxide anion production. The thoracic aorta was removed, cleaned and weighed. Sections of aorta were analysed for cholesterol </w:t>
      </w:r>
      <w:r w:rsidR="001E06C8" w:rsidRPr="008C0160">
        <w:rPr>
          <w:lang w:eastAsia="en-AU" w:bidi="ar-SA"/>
        </w:rPr>
        <w:lastRenderedPageBreak/>
        <w:t xml:space="preserve">concentration, while the aortic arch was processed for histopathology. </w:t>
      </w:r>
    </w:p>
    <w:p w14:paraId="339CCFE7" w14:textId="77777777" w:rsidR="006429A6" w:rsidRPr="008C0160" w:rsidRDefault="006429A6" w:rsidP="007E430C">
      <w:pPr>
        <w:rPr>
          <w:lang w:eastAsia="en-AU" w:bidi="ar-SA"/>
        </w:rPr>
      </w:pPr>
    </w:p>
    <w:p w14:paraId="21E09C00" w14:textId="77777777" w:rsidR="00EF3B05" w:rsidRPr="008C0160" w:rsidRDefault="009736C9" w:rsidP="007E430C">
      <w:pPr>
        <w:rPr>
          <w:lang w:eastAsia="en-AU" w:bidi="ar-SA"/>
        </w:rPr>
      </w:pPr>
      <w:r w:rsidRPr="008C0160">
        <w:rPr>
          <w:lang w:eastAsia="en-AU" w:bidi="ar-SA"/>
        </w:rPr>
        <w:t xml:space="preserve">Treatment with </w:t>
      </w:r>
      <w:r w:rsidR="00A563F3" w:rsidRPr="008C0160">
        <w:rPr>
          <w:lang w:eastAsia="en-AU" w:bidi="ar-SA"/>
        </w:rPr>
        <w:t>chitin-glucan</w:t>
      </w:r>
      <w:r w:rsidRPr="008C0160">
        <w:rPr>
          <w:lang w:eastAsia="en-AU" w:bidi="ar-SA"/>
        </w:rPr>
        <w:t xml:space="preserve"> had no effect on food consumption. Feed </w:t>
      </w:r>
      <w:r w:rsidR="00D008CA">
        <w:rPr>
          <w:lang w:eastAsia="en-AU" w:bidi="ar-SA"/>
        </w:rPr>
        <w:t xml:space="preserve">conversion </w:t>
      </w:r>
      <w:r w:rsidRPr="008C0160">
        <w:rPr>
          <w:lang w:eastAsia="en-AU" w:bidi="ar-SA"/>
        </w:rPr>
        <w:t>efficiency and weight gain were reduced 35% and 30%, respectively, in the 42.8 mg/kg bw</w:t>
      </w:r>
      <w:r w:rsidR="004E21B3">
        <w:rPr>
          <w:lang w:eastAsia="en-AU" w:bidi="ar-SA"/>
        </w:rPr>
        <w:t>/day</w:t>
      </w:r>
      <w:r w:rsidR="00D008CA">
        <w:rPr>
          <w:lang w:eastAsia="en-AU" w:bidi="ar-SA"/>
        </w:rPr>
        <w:t xml:space="preserve"> </w:t>
      </w:r>
      <w:r w:rsidRPr="008C0160">
        <w:rPr>
          <w:lang w:eastAsia="en-AU" w:bidi="ar-SA"/>
        </w:rPr>
        <w:t>group, but there were no effects on these parameters observed in the 21.4 mg/kg bw</w:t>
      </w:r>
      <w:r w:rsidR="004E21B3">
        <w:rPr>
          <w:lang w:eastAsia="en-AU" w:bidi="ar-SA"/>
        </w:rPr>
        <w:t>/day</w:t>
      </w:r>
      <w:r w:rsidR="00D008CA">
        <w:rPr>
          <w:lang w:eastAsia="en-AU" w:bidi="ar-SA"/>
        </w:rPr>
        <w:t xml:space="preserve"> </w:t>
      </w:r>
      <w:r w:rsidRPr="008C0160">
        <w:rPr>
          <w:lang w:eastAsia="en-AU" w:bidi="ar-SA"/>
        </w:rPr>
        <w:t xml:space="preserve">group. There were no adverse clinical observations in hamsters gavaged with </w:t>
      </w:r>
      <w:r w:rsidR="00A563F3" w:rsidRPr="008C0160">
        <w:rPr>
          <w:lang w:eastAsia="en-AU" w:bidi="ar-SA"/>
        </w:rPr>
        <w:t>chitin-glucan</w:t>
      </w:r>
      <w:r w:rsidRPr="008C0160">
        <w:rPr>
          <w:lang w:eastAsia="en-AU" w:bidi="ar-SA"/>
        </w:rPr>
        <w:t xml:space="preserve">. Treatment with </w:t>
      </w:r>
      <w:r w:rsidR="00A563F3" w:rsidRPr="008C0160">
        <w:rPr>
          <w:lang w:eastAsia="en-AU" w:bidi="ar-SA"/>
        </w:rPr>
        <w:t>chitin-glucan</w:t>
      </w:r>
      <w:r w:rsidRPr="008C0160">
        <w:rPr>
          <w:lang w:eastAsia="en-AU" w:bidi="ar-SA"/>
        </w:rPr>
        <w:t xml:space="preserve"> had no effect on plasma total cholesterol or HDL-C, but plasma triglyceride was significantly decreased</w:t>
      </w:r>
      <w:r w:rsidR="002D645F" w:rsidRPr="008C0160">
        <w:rPr>
          <w:lang w:eastAsia="en-AU" w:bidi="ar-SA"/>
        </w:rPr>
        <w:t xml:space="preserve"> by treatment. Group mean plasma triglyceride of the 21.4 mg/kg bw</w:t>
      </w:r>
      <w:r w:rsidR="004E21B3">
        <w:rPr>
          <w:lang w:eastAsia="en-AU" w:bidi="ar-SA"/>
        </w:rPr>
        <w:t>/day</w:t>
      </w:r>
      <w:r w:rsidR="00D008CA">
        <w:rPr>
          <w:lang w:eastAsia="en-AU" w:bidi="ar-SA"/>
        </w:rPr>
        <w:t xml:space="preserve"> </w:t>
      </w:r>
      <w:r w:rsidR="002D645F" w:rsidRPr="008C0160">
        <w:rPr>
          <w:lang w:eastAsia="en-AU" w:bidi="ar-SA"/>
        </w:rPr>
        <w:t>group was decreased 20% relative to that of controls, while that of the 42.8 mg/kg bw</w:t>
      </w:r>
      <w:r w:rsidR="004E21B3">
        <w:rPr>
          <w:lang w:eastAsia="en-AU" w:bidi="ar-SA"/>
        </w:rPr>
        <w:t>/day</w:t>
      </w:r>
      <w:r w:rsidR="00D008CA">
        <w:rPr>
          <w:lang w:eastAsia="en-AU" w:bidi="ar-SA"/>
        </w:rPr>
        <w:t xml:space="preserve"> </w:t>
      </w:r>
      <w:r w:rsidR="002D645F" w:rsidRPr="008C0160">
        <w:rPr>
          <w:lang w:eastAsia="en-AU" w:bidi="ar-SA"/>
        </w:rPr>
        <w:t xml:space="preserve">group was decreased 39% relative to that of controls. </w:t>
      </w:r>
      <w:r w:rsidR="00B3711A" w:rsidRPr="008C0160">
        <w:rPr>
          <w:lang w:eastAsia="en-AU" w:bidi="ar-SA"/>
        </w:rPr>
        <w:t>Group mean s</w:t>
      </w:r>
      <w:r w:rsidR="0089410F" w:rsidRPr="008C0160">
        <w:rPr>
          <w:lang w:eastAsia="en-AU" w:bidi="ar-SA"/>
        </w:rPr>
        <w:t xml:space="preserve">uperoxide </w:t>
      </w:r>
      <w:r w:rsidR="00B3711A" w:rsidRPr="008C0160">
        <w:rPr>
          <w:lang w:eastAsia="en-AU" w:bidi="ar-SA"/>
        </w:rPr>
        <w:t xml:space="preserve">anion production in the heart was significantly decreased (25% lower), relative to that of </w:t>
      </w:r>
      <w:r w:rsidR="0017617B" w:rsidRPr="008C0160">
        <w:rPr>
          <w:lang w:eastAsia="en-AU" w:bidi="ar-SA"/>
        </w:rPr>
        <w:t>controls, in</w:t>
      </w:r>
      <w:r w:rsidR="00B3711A" w:rsidRPr="008C0160">
        <w:rPr>
          <w:lang w:eastAsia="en-AU" w:bidi="ar-SA"/>
        </w:rPr>
        <w:t xml:space="preserve"> the 42.8 mg/kg bw</w:t>
      </w:r>
      <w:r w:rsidR="004E21B3">
        <w:rPr>
          <w:lang w:eastAsia="en-AU" w:bidi="ar-SA"/>
        </w:rPr>
        <w:t>/day</w:t>
      </w:r>
      <w:r w:rsidR="00D008CA">
        <w:rPr>
          <w:lang w:eastAsia="en-AU" w:bidi="ar-SA"/>
        </w:rPr>
        <w:t xml:space="preserve"> </w:t>
      </w:r>
      <w:r w:rsidR="00B3711A" w:rsidRPr="008C0160">
        <w:rPr>
          <w:lang w:eastAsia="en-AU" w:bidi="ar-SA"/>
        </w:rPr>
        <w:t>group but not the 21.4 mg/kg bw</w:t>
      </w:r>
      <w:r w:rsidR="004E21B3">
        <w:rPr>
          <w:lang w:eastAsia="en-AU" w:bidi="ar-SA"/>
        </w:rPr>
        <w:t>/day</w:t>
      </w:r>
      <w:r w:rsidR="00D008CA">
        <w:rPr>
          <w:lang w:eastAsia="en-AU" w:bidi="ar-SA"/>
        </w:rPr>
        <w:t xml:space="preserve"> </w:t>
      </w:r>
      <w:r w:rsidR="00B3711A" w:rsidRPr="008C0160">
        <w:rPr>
          <w:lang w:eastAsia="en-AU" w:bidi="ar-SA"/>
        </w:rPr>
        <w:t>group.  Aortic cholesterol</w:t>
      </w:r>
      <w:r w:rsidR="00EF3B05" w:rsidRPr="008C0160">
        <w:rPr>
          <w:lang w:eastAsia="en-AU" w:bidi="ar-SA"/>
        </w:rPr>
        <w:t xml:space="preserve"> and aortic fatty streak accumulations were </w:t>
      </w:r>
      <w:r w:rsidR="00B3711A" w:rsidRPr="008C0160">
        <w:rPr>
          <w:lang w:eastAsia="en-AU" w:bidi="ar-SA"/>
        </w:rPr>
        <w:t xml:space="preserve">significantly decreased by feeding </w:t>
      </w:r>
      <w:r w:rsidR="00A563F3" w:rsidRPr="008C0160">
        <w:rPr>
          <w:lang w:eastAsia="en-AU" w:bidi="ar-SA"/>
        </w:rPr>
        <w:t>chitin-glucan</w:t>
      </w:r>
      <w:r w:rsidR="00EF3B05" w:rsidRPr="008C0160">
        <w:rPr>
          <w:lang w:eastAsia="en-AU" w:bidi="ar-SA"/>
        </w:rPr>
        <w:t xml:space="preserve">. Both dose levels of </w:t>
      </w:r>
      <w:r w:rsidR="00A563F3" w:rsidRPr="008C0160">
        <w:rPr>
          <w:lang w:eastAsia="en-AU" w:bidi="ar-SA"/>
        </w:rPr>
        <w:t>chitin-glucan</w:t>
      </w:r>
      <w:r w:rsidR="00EF3B05" w:rsidRPr="008C0160">
        <w:rPr>
          <w:lang w:eastAsia="en-AU" w:bidi="ar-SA"/>
        </w:rPr>
        <w:t xml:space="preserve"> also significantly increased liver glutathione peroxidase activity and superoxide dismutase activity, relative to those of controls, and significantly decreased concentration of thiobarbituric acid reactive substance (assumed to be malondialdehyde). </w:t>
      </w:r>
      <w:r w:rsidR="00F14DC3">
        <w:rPr>
          <w:lang w:eastAsia="en-AU" w:bidi="ar-SA"/>
        </w:rPr>
        <w:t>T</w:t>
      </w:r>
      <w:r w:rsidR="00F61505">
        <w:rPr>
          <w:lang w:eastAsia="en-AU" w:bidi="ar-SA"/>
        </w:rPr>
        <w:t xml:space="preserve">hese effects were </w:t>
      </w:r>
      <w:r w:rsidR="00F14DC3">
        <w:rPr>
          <w:lang w:eastAsia="en-AU" w:bidi="ar-SA"/>
        </w:rPr>
        <w:t xml:space="preserve">all </w:t>
      </w:r>
      <w:r w:rsidR="00F61505">
        <w:rPr>
          <w:lang w:eastAsia="en-AU" w:bidi="ar-SA"/>
        </w:rPr>
        <w:t xml:space="preserve">considered to be </w:t>
      </w:r>
      <w:r w:rsidR="00F14DC3">
        <w:rPr>
          <w:lang w:eastAsia="en-AU" w:bidi="ar-SA"/>
        </w:rPr>
        <w:t xml:space="preserve">beneficial rather than </w:t>
      </w:r>
      <w:r w:rsidR="00F61505">
        <w:rPr>
          <w:lang w:eastAsia="en-AU" w:bidi="ar-SA"/>
        </w:rPr>
        <w:t>adverse.</w:t>
      </w:r>
    </w:p>
    <w:p w14:paraId="40CD5FA0" w14:textId="77777777" w:rsidR="00EF3B05" w:rsidRPr="008C0160" w:rsidRDefault="00EF3B05" w:rsidP="007E430C">
      <w:pPr>
        <w:rPr>
          <w:lang w:eastAsia="en-AU" w:bidi="ar-SA"/>
        </w:rPr>
      </w:pPr>
    </w:p>
    <w:p w14:paraId="21DA5CBC" w14:textId="77777777" w:rsidR="00562517" w:rsidRPr="008C0160" w:rsidRDefault="00EF3B05" w:rsidP="007E430C">
      <w:pPr>
        <w:rPr>
          <w:lang w:eastAsia="en-AU" w:bidi="ar-SA"/>
        </w:rPr>
      </w:pPr>
      <w:r w:rsidRPr="008C0160">
        <w:rPr>
          <w:lang w:eastAsia="en-AU" w:bidi="ar-SA"/>
        </w:rPr>
        <w:t xml:space="preserve">While this study was primarily designed to show efficacy, it can be concluded that the NOAEL for </w:t>
      </w:r>
      <w:r w:rsidR="00A563F3" w:rsidRPr="008C0160">
        <w:rPr>
          <w:lang w:eastAsia="en-AU" w:bidi="ar-SA"/>
        </w:rPr>
        <w:t>chitin-glucan</w:t>
      </w:r>
      <w:r w:rsidRPr="008C0160">
        <w:rPr>
          <w:lang w:eastAsia="en-AU" w:bidi="ar-SA"/>
        </w:rPr>
        <w:t xml:space="preserve"> in the Syrian golden hamster is 42.8 mg/kg bw</w:t>
      </w:r>
      <w:r w:rsidR="004E21B3">
        <w:rPr>
          <w:lang w:eastAsia="en-AU" w:bidi="ar-SA"/>
        </w:rPr>
        <w:t>/day.</w:t>
      </w:r>
      <w:r w:rsidRPr="008C0160">
        <w:rPr>
          <w:lang w:eastAsia="en-AU" w:bidi="ar-SA"/>
        </w:rPr>
        <w:t xml:space="preserve">  </w:t>
      </w:r>
    </w:p>
    <w:p w14:paraId="51246972" w14:textId="77777777" w:rsidR="00562517" w:rsidRPr="008C0160" w:rsidRDefault="00F05977" w:rsidP="0017617B">
      <w:pPr>
        <w:pStyle w:val="Heading3"/>
      </w:pPr>
      <w:bookmarkStart w:id="67" w:name="_Toc476908573"/>
      <w:bookmarkStart w:id="68" w:name="_Toc478375795"/>
      <w:r w:rsidRPr="008C0160">
        <w:t>3.</w:t>
      </w:r>
      <w:r w:rsidR="004E57FE">
        <w:t>4</w:t>
      </w:r>
      <w:r w:rsidRPr="008C0160">
        <w:tab/>
      </w:r>
      <w:r w:rsidR="00562517" w:rsidRPr="008C0160">
        <w:t>Other studies</w:t>
      </w:r>
      <w:bookmarkEnd w:id="67"/>
      <w:bookmarkEnd w:id="68"/>
    </w:p>
    <w:p w14:paraId="7CEE0963" w14:textId="77777777" w:rsidR="00562517" w:rsidRPr="008C0160" w:rsidRDefault="00562517" w:rsidP="00562517">
      <w:pPr>
        <w:rPr>
          <w:lang w:eastAsia="en-AU" w:bidi="ar-SA"/>
        </w:rPr>
      </w:pPr>
      <w:r w:rsidRPr="008C0160">
        <w:rPr>
          <w:lang w:eastAsia="en-AU" w:bidi="ar-SA"/>
        </w:rPr>
        <w:t xml:space="preserve">EFSA (2010) reviewed an unpublished 28-day rat dietary study of </w:t>
      </w:r>
      <w:r w:rsidR="00A563F3" w:rsidRPr="008C0160">
        <w:rPr>
          <w:lang w:eastAsia="en-AU" w:bidi="ar-SA"/>
        </w:rPr>
        <w:t>chitin-glucan</w:t>
      </w:r>
      <w:r w:rsidRPr="008C0160">
        <w:rPr>
          <w:lang w:eastAsia="en-AU" w:bidi="ar-SA"/>
        </w:rPr>
        <w:t xml:space="preserve">, conducted in compliance with GLP. No adverse effects were observed at the highest dose level, 10% of </w:t>
      </w:r>
      <w:r w:rsidR="00A563F3" w:rsidRPr="008C0160">
        <w:rPr>
          <w:lang w:eastAsia="en-AU" w:bidi="ar-SA"/>
        </w:rPr>
        <w:t>chitin-glucan</w:t>
      </w:r>
      <w:r w:rsidRPr="008C0160">
        <w:rPr>
          <w:lang w:eastAsia="en-AU" w:bidi="ar-SA"/>
        </w:rPr>
        <w:t xml:space="preserve"> in the feed, equivalent to 8 g/kg bw</w:t>
      </w:r>
      <w:r w:rsidR="004E21B3">
        <w:rPr>
          <w:lang w:eastAsia="en-AU" w:bidi="ar-SA"/>
        </w:rPr>
        <w:t>/day.</w:t>
      </w:r>
      <w:r w:rsidRPr="008C0160">
        <w:rPr>
          <w:lang w:eastAsia="en-AU" w:bidi="ar-SA"/>
        </w:rPr>
        <w:t xml:space="preserve"> </w:t>
      </w:r>
    </w:p>
    <w:p w14:paraId="52EB0609" w14:textId="77777777" w:rsidR="006B6CD1" w:rsidRPr="008C0160" w:rsidRDefault="006B6CD1" w:rsidP="00562517">
      <w:pPr>
        <w:rPr>
          <w:lang w:eastAsia="en-AU" w:bidi="ar-SA"/>
        </w:rPr>
      </w:pPr>
    </w:p>
    <w:p w14:paraId="1D5376D7" w14:textId="77777777" w:rsidR="006B6CD1" w:rsidRPr="008C0160" w:rsidRDefault="006B6CD1" w:rsidP="00562517">
      <w:pPr>
        <w:rPr>
          <w:lang w:eastAsia="en-AU" w:bidi="ar-SA"/>
        </w:rPr>
      </w:pPr>
      <w:r w:rsidRPr="008C0160">
        <w:rPr>
          <w:lang w:eastAsia="en-AU" w:bidi="ar-SA"/>
        </w:rPr>
        <w:t xml:space="preserve">A 13-week subchronic toxicity study of chitin in F344 rats was published by Niho et al. (1999) but the text is in Japanese, with the exception of the abstract, figures and tables. </w:t>
      </w:r>
      <w:r w:rsidR="00CA79AB" w:rsidRPr="008C0160">
        <w:rPr>
          <w:lang w:eastAsia="en-AU" w:bidi="ar-SA"/>
        </w:rPr>
        <w:t>The authors concluded that chitin was nontoxic at dietary concentrations up to 5%</w:t>
      </w:r>
      <w:r w:rsidR="00F84CBC" w:rsidRPr="008C0160">
        <w:rPr>
          <w:lang w:eastAsia="en-AU" w:bidi="ar-SA"/>
        </w:rPr>
        <w:t>, the highest dose tested</w:t>
      </w:r>
      <w:r w:rsidR="00CA79AB" w:rsidRPr="008C0160">
        <w:rPr>
          <w:lang w:eastAsia="en-AU" w:bidi="ar-SA"/>
        </w:rPr>
        <w:t>.</w:t>
      </w:r>
    </w:p>
    <w:p w14:paraId="2602DB57" w14:textId="77777777" w:rsidR="00562517" w:rsidRPr="008C0160" w:rsidRDefault="00562517" w:rsidP="00562517">
      <w:pPr>
        <w:rPr>
          <w:lang w:eastAsia="en-AU" w:bidi="ar-SA"/>
        </w:rPr>
      </w:pPr>
    </w:p>
    <w:p w14:paraId="56A56C26" w14:textId="77777777" w:rsidR="00BC35C8" w:rsidRPr="008C0160" w:rsidRDefault="00562517" w:rsidP="007E430C">
      <w:pPr>
        <w:rPr>
          <w:lang w:eastAsia="en-AU" w:bidi="ar-SA"/>
        </w:rPr>
      </w:pPr>
      <w:r w:rsidRPr="008C0160">
        <w:rPr>
          <w:lang w:eastAsia="en-AU" w:bidi="ar-SA"/>
        </w:rPr>
        <w:t xml:space="preserve">Rodent studies of </w:t>
      </w:r>
      <w:r w:rsidR="00D150AA" w:rsidRPr="008C0160">
        <w:rPr>
          <w:lang w:eastAsia="en-AU" w:bidi="ar-SA"/>
        </w:rPr>
        <w:t>COS</w:t>
      </w:r>
      <w:r w:rsidRPr="008C0160">
        <w:rPr>
          <w:lang w:eastAsia="en-AU" w:bidi="ar-SA"/>
        </w:rPr>
        <w:t xml:space="preserve"> were recently reviewed by Muanprasat and Chatsudthipong (2016). The acute oral LD</w:t>
      </w:r>
      <w:r w:rsidRPr="008C0160">
        <w:rPr>
          <w:vertAlign w:val="subscript"/>
          <w:lang w:eastAsia="en-AU" w:bidi="ar-SA"/>
        </w:rPr>
        <w:t>50</w:t>
      </w:r>
      <w:r w:rsidRPr="008C0160">
        <w:rPr>
          <w:lang w:eastAsia="en-AU" w:bidi="ar-SA"/>
        </w:rPr>
        <w:t xml:space="preserve"> for </w:t>
      </w:r>
      <w:r w:rsidR="00D150AA" w:rsidRPr="008C0160">
        <w:rPr>
          <w:lang w:eastAsia="en-AU" w:bidi="ar-SA"/>
        </w:rPr>
        <w:t>COS</w:t>
      </w:r>
      <w:r w:rsidRPr="008C0160">
        <w:rPr>
          <w:lang w:eastAsia="en-AU" w:bidi="ar-SA"/>
        </w:rPr>
        <w:t xml:space="preserve"> in mice is &gt;10 g/kg bw. Oral administration of </w:t>
      </w:r>
      <w:r w:rsidR="00D150AA" w:rsidRPr="008C0160">
        <w:rPr>
          <w:lang w:eastAsia="en-AU" w:bidi="ar-SA"/>
        </w:rPr>
        <w:t>COS</w:t>
      </w:r>
      <w:r w:rsidRPr="008C0160">
        <w:rPr>
          <w:lang w:eastAsia="en-AU" w:bidi="ar-SA"/>
        </w:rPr>
        <w:t xml:space="preserve"> to mice for 50 days, at up to 500 mg/kg bw/d, had no adverse effects. </w:t>
      </w:r>
      <w:r w:rsidR="00D150AA" w:rsidRPr="008C0160">
        <w:rPr>
          <w:lang w:eastAsia="en-AU" w:bidi="ar-SA"/>
        </w:rPr>
        <w:t xml:space="preserve">A </w:t>
      </w:r>
      <w:r w:rsidRPr="008C0160">
        <w:rPr>
          <w:lang w:eastAsia="en-AU" w:bidi="ar-SA"/>
        </w:rPr>
        <w:t>90-day dietary study</w:t>
      </w:r>
      <w:r w:rsidR="00D150AA" w:rsidRPr="008C0160">
        <w:rPr>
          <w:lang w:eastAsia="en-AU" w:bidi="ar-SA"/>
        </w:rPr>
        <w:t xml:space="preserve"> of COS</w:t>
      </w:r>
      <w:r w:rsidRPr="008C0160">
        <w:rPr>
          <w:lang w:eastAsia="en-AU" w:bidi="ar-SA"/>
        </w:rPr>
        <w:t xml:space="preserve"> in rats identified a NOAEL of 0.2% w/w, equivalent to 124 mg/kg bw</w:t>
      </w:r>
      <w:r w:rsidR="004E21B3">
        <w:rPr>
          <w:lang w:eastAsia="en-AU" w:bidi="ar-SA"/>
        </w:rPr>
        <w:t>/day</w:t>
      </w:r>
      <w:r w:rsidR="004E57FE">
        <w:rPr>
          <w:lang w:eastAsia="en-AU" w:bidi="ar-SA"/>
        </w:rPr>
        <w:t xml:space="preserve"> </w:t>
      </w:r>
      <w:r w:rsidRPr="008C0160">
        <w:rPr>
          <w:lang w:eastAsia="en-AU" w:bidi="ar-SA"/>
        </w:rPr>
        <w:t>in males and 142</w:t>
      </w:r>
      <w:r w:rsidR="00F979B3">
        <w:rPr>
          <w:lang w:eastAsia="en-AU" w:bidi="ar-SA"/>
        </w:rPr>
        <w:t> </w:t>
      </w:r>
      <w:r w:rsidRPr="008C0160">
        <w:rPr>
          <w:lang w:eastAsia="en-AU" w:bidi="ar-SA"/>
        </w:rPr>
        <w:t>mg/kg bw</w:t>
      </w:r>
      <w:r w:rsidR="004E21B3">
        <w:rPr>
          <w:lang w:eastAsia="en-AU" w:bidi="ar-SA"/>
        </w:rPr>
        <w:t>/day</w:t>
      </w:r>
      <w:r w:rsidR="004E57FE">
        <w:rPr>
          <w:lang w:eastAsia="en-AU" w:bidi="ar-SA"/>
        </w:rPr>
        <w:t xml:space="preserve"> </w:t>
      </w:r>
      <w:r w:rsidRPr="008C0160">
        <w:rPr>
          <w:lang w:eastAsia="en-AU" w:bidi="ar-SA"/>
        </w:rPr>
        <w:t xml:space="preserve">in females. The NOAEL was based on dermal inflammation of the forelimbs at 1% w/w </w:t>
      </w:r>
      <w:r w:rsidR="00D150AA" w:rsidRPr="008C0160">
        <w:rPr>
          <w:lang w:eastAsia="en-AU" w:bidi="ar-SA"/>
        </w:rPr>
        <w:t>COS</w:t>
      </w:r>
      <w:r w:rsidRPr="008C0160">
        <w:rPr>
          <w:lang w:eastAsia="en-AU" w:bidi="ar-SA"/>
        </w:rPr>
        <w:t xml:space="preserve"> in the diet. The mechanism of this effect was unknown (Muanprasat and Chatsudthipong 2016).</w:t>
      </w:r>
    </w:p>
    <w:p w14:paraId="2332DBF4" w14:textId="77777777" w:rsidR="005F3CB7" w:rsidRPr="008C0160" w:rsidRDefault="00F05977" w:rsidP="0017617B">
      <w:pPr>
        <w:pStyle w:val="Heading4"/>
      </w:pPr>
      <w:r w:rsidRPr="008C0160">
        <w:t>3.</w:t>
      </w:r>
      <w:r w:rsidR="004E57FE">
        <w:t>4</w:t>
      </w:r>
      <w:r w:rsidRPr="008C0160">
        <w:t>.1</w:t>
      </w:r>
      <w:r w:rsidRPr="008C0160">
        <w:tab/>
      </w:r>
      <w:r w:rsidR="005F3CB7" w:rsidRPr="008C0160">
        <w:t xml:space="preserve">28-day gavage study of </w:t>
      </w:r>
      <w:r w:rsidR="00D150AA" w:rsidRPr="008C0160">
        <w:t xml:space="preserve">COS </w:t>
      </w:r>
      <w:r w:rsidR="005F3CB7" w:rsidRPr="008C0160">
        <w:t xml:space="preserve">in rats </w:t>
      </w:r>
    </w:p>
    <w:p w14:paraId="712CD390" w14:textId="77777777" w:rsidR="00562517" w:rsidRPr="008C0160" w:rsidRDefault="005F3CB7" w:rsidP="005F3CB7">
      <w:pPr>
        <w:rPr>
          <w:lang w:eastAsia="en-AU" w:bidi="ar-SA"/>
        </w:rPr>
      </w:pPr>
      <w:r w:rsidRPr="008C0160">
        <w:rPr>
          <w:lang w:eastAsia="en-AU" w:bidi="ar-SA"/>
        </w:rPr>
        <w:t xml:space="preserve">Sprague-Dawley rats, 9/sex/group, were individually housed under standard </w:t>
      </w:r>
      <w:r w:rsidR="000013B9" w:rsidRPr="008C0160">
        <w:rPr>
          <w:lang w:eastAsia="en-AU" w:bidi="ar-SA"/>
        </w:rPr>
        <w:t>laboratory</w:t>
      </w:r>
      <w:r w:rsidRPr="008C0160">
        <w:rPr>
          <w:lang w:eastAsia="en-AU" w:bidi="ar-SA"/>
        </w:rPr>
        <w:t xml:space="preserve"> husbandry conditions</w:t>
      </w:r>
      <w:r w:rsidR="007E45EB" w:rsidRPr="008C0160">
        <w:rPr>
          <w:lang w:eastAsia="en-AU" w:bidi="ar-SA"/>
        </w:rPr>
        <w:t xml:space="preserve"> </w:t>
      </w:r>
      <w:r w:rsidR="007E45EB" w:rsidRPr="008C0160">
        <w:t>(Kim et al. 2001)</w:t>
      </w:r>
      <w:r w:rsidRPr="008C0160">
        <w:rPr>
          <w:lang w:eastAsia="en-AU" w:bidi="ar-SA"/>
        </w:rPr>
        <w:t>. Rats were approximately 5 weeks old at the start of treatment. Rats were gavaged daily at a volume of 10 mL/kg with 0, 500, 1000 or 2000</w:t>
      </w:r>
      <w:r w:rsidR="006259C3">
        <w:rPr>
          <w:lang w:eastAsia="en-AU" w:bidi="ar-SA"/>
        </w:rPr>
        <w:t> </w:t>
      </w:r>
      <w:r w:rsidRPr="008C0160">
        <w:rPr>
          <w:lang w:eastAsia="en-AU" w:bidi="ar-SA"/>
        </w:rPr>
        <w:t>mg/kg bw</w:t>
      </w:r>
      <w:r w:rsidR="00D150AA" w:rsidRPr="008C0160">
        <w:rPr>
          <w:lang w:eastAsia="en-AU" w:bidi="ar-SA"/>
        </w:rPr>
        <w:t xml:space="preserve"> COS</w:t>
      </w:r>
      <w:r w:rsidR="00752C7A">
        <w:rPr>
          <w:lang w:eastAsia="en-AU" w:bidi="ar-SA"/>
        </w:rPr>
        <w:t>, of unspecified purity</w:t>
      </w:r>
      <w:r w:rsidRPr="008C0160">
        <w:rPr>
          <w:lang w:eastAsia="en-AU" w:bidi="ar-SA"/>
        </w:rPr>
        <w:t>. Recorded parameters during the in-life phase were daily clinical observations, daily food consumption, and weekly body weight. Urine and blood were collected at the end of the study</w:t>
      </w:r>
      <w:r w:rsidR="00196B9D" w:rsidRPr="008C0160">
        <w:rPr>
          <w:lang w:eastAsia="en-AU" w:bidi="ar-SA"/>
        </w:rPr>
        <w:t xml:space="preserve"> for urinalysis, haematology and serum chemistry</w:t>
      </w:r>
      <w:r w:rsidRPr="008C0160">
        <w:rPr>
          <w:lang w:eastAsia="en-AU" w:bidi="ar-SA"/>
        </w:rPr>
        <w:t>, and rats were subject to gross necropsy</w:t>
      </w:r>
      <w:r w:rsidR="00196B9D" w:rsidRPr="008C0160">
        <w:rPr>
          <w:lang w:eastAsia="en-AU" w:bidi="ar-SA"/>
        </w:rPr>
        <w:t xml:space="preserve">. Liver, lung, kidney, spleen and gonad weights were recorded, and organs were preserved for histopathology. No treatment-related differences in </w:t>
      </w:r>
      <w:r w:rsidR="000013B9" w:rsidRPr="008C0160">
        <w:rPr>
          <w:lang w:eastAsia="en-AU" w:bidi="ar-SA"/>
        </w:rPr>
        <w:t xml:space="preserve">survival or </w:t>
      </w:r>
      <w:r w:rsidR="00196B9D" w:rsidRPr="008C0160">
        <w:rPr>
          <w:lang w:eastAsia="en-AU" w:bidi="ar-SA"/>
        </w:rPr>
        <w:t xml:space="preserve">in-life parameters </w:t>
      </w:r>
      <w:r w:rsidR="000013B9" w:rsidRPr="008C0160">
        <w:rPr>
          <w:lang w:eastAsia="en-AU" w:bidi="ar-SA"/>
        </w:rPr>
        <w:t>were found. There were no treatment-related effects on urinalysis or serum chemistry results. The male rats in the 2000 mg/kg bw</w:t>
      </w:r>
      <w:r w:rsidR="004E21B3">
        <w:rPr>
          <w:lang w:eastAsia="en-AU" w:bidi="ar-SA"/>
        </w:rPr>
        <w:t>/day</w:t>
      </w:r>
      <w:r w:rsidR="004E57FE">
        <w:rPr>
          <w:lang w:eastAsia="en-AU" w:bidi="ar-SA"/>
        </w:rPr>
        <w:t xml:space="preserve"> </w:t>
      </w:r>
      <w:r w:rsidR="000013B9" w:rsidRPr="008C0160">
        <w:rPr>
          <w:lang w:eastAsia="en-AU" w:bidi="ar-SA"/>
        </w:rPr>
        <w:t xml:space="preserve">group had an increase in total leucocyte count, relative to controls, that was statistically significant but which remained within normal biological range. No similar elevation was found in the female rats. Treatment had no effect on organ weights or histopathological findings. In </w:t>
      </w:r>
      <w:r w:rsidR="000013B9" w:rsidRPr="008C0160">
        <w:rPr>
          <w:lang w:eastAsia="en-AU" w:bidi="ar-SA"/>
        </w:rPr>
        <w:lastRenderedPageBreak/>
        <w:t xml:space="preserve">conclusion, the NOAEL of </w:t>
      </w:r>
      <w:r w:rsidR="00D150AA" w:rsidRPr="008C0160">
        <w:rPr>
          <w:lang w:eastAsia="en-AU" w:bidi="ar-SA"/>
        </w:rPr>
        <w:t>COS</w:t>
      </w:r>
      <w:r w:rsidR="000013B9" w:rsidRPr="008C0160">
        <w:rPr>
          <w:lang w:eastAsia="en-AU" w:bidi="ar-SA"/>
        </w:rPr>
        <w:t xml:space="preserve"> was the highest dose, 2000 mg/kg bw</w:t>
      </w:r>
      <w:r w:rsidR="004E21B3">
        <w:rPr>
          <w:lang w:eastAsia="en-AU" w:bidi="ar-SA"/>
        </w:rPr>
        <w:t>/day.</w:t>
      </w:r>
    </w:p>
    <w:p w14:paraId="5FBD36CB" w14:textId="77777777" w:rsidR="00562517" w:rsidRPr="008C0160" w:rsidRDefault="00F05977" w:rsidP="0017617B">
      <w:pPr>
        <w:pStyle w:val="Heading4"/>
      </w:pPr>
      <w:r w:rsidRPr="008C0160">
        <w:t>3.</w:t>
      </w:r>
      <w:r w:rsidR="00F979B3">
        <w:t>4</w:t>
      </w:r>
      <w:r w:rsidRPr="008C0160">
        <w:t>.2</w:t>
      </w:r>
      <w:r w:rsidRPr="008C0160">
        <w:tab/>
      </w:r>
      <w:r w:rsidR="00562517" w:rsidRPr="008C0160">
        <w:t xml:space="preserve">Acute and 91-day oral gavage studies of a yeast-derived </w:t>
      </w:r>
      <w:r w:rsidR="00F979B3">
        <w:t>b</w:t>
      </w:r>
      <w:r w:rsidR="00FF4A0B" w:rsidRPr="008C0160">
        <w:t xml:space="preserve">eta-glucan </w:t>
      </w:r>
      <w:r w:rsidR="00562517" w:rsidRPr="008C0160">
        <w:t>preparation in rats</w:t>
      </w:r>
    </w:p>
    <w:p w14:paraId="78EBF0C5" w14:textId="77777777" w:rsidR="00562517" w:rsidRPr="008C0160" w:rsidRDefault="00562517" w:rsidP="00562517">
      <w:pPr>
        <w:rPr>
          <w:lang w:eastAsia="en-AU" w:bidi="ar-SA"/>
        </w:rPr>
      </w:pPr>
      <w:r w:rsidRPr="008C0160">
        <w:rPr>
          <w:lang w:eastAsia="en-AU" w:bidi="ar-SA"/>
        </w:rPr>
        <w:t xml:space="preserve">The test article in these two studies </w:t>
      </w:r>
      <w:r w:rsidR="007E45EB" w:rsidRPr="008C0160">
        <w:t xml:space="preserve">(Babíček et al. 2007) </w:t>
      </w:r>
      <w:r w:rsidRPr="008C0160">
        <w:rPr>
          <w:lang w:eastAsia="en-AU" w:bidi="ar-SA"/>
        </w:rPr>
        <w:t>was a (1,3/1,6)-</w:t>
      </w:r>
      <w:r w:rsidR="00D83304" w:rsidRPr="008C0160">
        <w:rPr>
          <w:rFonts w:cs="Arial"/>
          <w:lang w:eastAsia="en-AU" w:bidi="ar-SA"/>
        </w:rPr>
        <w:t>Beta</w:t>
      </w:r>
      <w:r w:rsidRPr="008C0160">
        <w:rPr>
          <w:lang w:eastAsia="en-AU" w:bidi="ar-SA"/>
        </w:rPr>
        <w:t xml:space="preserve">-D-glucan extract from </w:t>
      </w:r>
      <w:r w:rsidRPr="008C0160">
        <w:rPr>
          <w:i/>
          <w:lang w:eastAsia="en-AU" w:bidi="ar-SA"/>
        </w:rPr>
        <w:t>Saccharomyces cerevisiae</w:t>
      </w:r>
      <w:r w:rsidRPr="008C0160">
        <w:rPr>
          <w:lang w:eastAsia="en-AU" w:bidi="ar-SA"/>
        </w:rPr>
        <w:t xml:space="preserve">, containing &gt;75% w/w </w:t>
      </w:r>
      <w:r w:rsidR="001559BA">
        <w:rPr>
          <w:rFonts w:cs="Arial"/>
          <w:lang w:eastAsia="en-AU" w:bidi="ar-SA"/>
        </w:rPr>
        <w:t>b</w:t>
      </w:r>
      <w:r w:rsidR="00FF4A0B" w:rsidRPr="008C0160">
        <w:rPr>
          <w:rFonts w:cs="Arial"/>
          <w:lang w:eastAsia="en-AU" w:bidi="ar-SA"/>
        </w:rPr>
        <w:t xml:space="preserve">eta-glucan </w:t>
      </w:r>
      <w:r w:rsidRPr="008C0160">
        <w:rPr>
          <w:lang w:eastAsia="en-AU" w:bidi="ar-SA"/>
        </w:rPr>
        <w:t>1,3/1,6 and &gt;80% w/w carbohydrate. The test article</w:t>
      </w:r>
      <w:r w:rsidR="001773F4" w:rsidRPr="008C0160">
        <w:rPr>
          <w:lang w:eastAsia="en-AU" w:bidi="ar-SA"/>
        </w:rPr>
        <w:t>, identified as WGP</w:t>
      </w:r>
      <w:r w:rsidR="001773F4" w:rsidRPr="008C0160">
        <w:rPr>
          <w:rFonts w:cs="Arial"/>
          <w:lang w:eastAsia="en-AU" w:bidi="ar-SA"/>
        </w:rPr>
        <w:t>®</w:t>
      </w:r>
      <w:r w:rsidR="001773F4" w:rsidRPr="008C0160">
        <w:rPr>
          <w:lang w:eastAsia="en-AU" w:bidi="ar-SA"/>
        </w:rPr>
        <w:t xml:space="preserve"> 3-6,</w:t>
      </w:r>
      <w:r w:rsidRPr="008C0160">
        <w:rPr>
          <w:lang w:eastAsia="en-AU" w:bidi="ar-SA"/>
        </w:rPr>
        <w:t xml:space="preserve"> was a powder and was administered to rats as a freshly-prepared suspension in sterile water</w:t>
      </w:r>
      <w:r w:rsidR="00D150AA" w:rsidRPr="008C0160">
        <w:rPr>
          <w:lang w:eastAsia="en-AU" w:bidi="ar-SA"/>
        </w:rPr>
        <w:t>.</w:t>
      </w:r>
      <w:r w:rsidRPr="008C0160">
        <w:rPr>
          <w:lang w:eastAsia="en-AU" w:bidi="ar-SA"/>
        </w:rPr>
        <w:t xml:space="preserve"> </w:t>
      </w:r>
    </w:p>
    <w:p w14:paraId="0E80AC68" w14:textId="77777777" w:rsidR="00562517" w:rsidRPr="008C0160" w:rsidRDefault="00562517" w:rsidP="00562517">
      <w:pPr>
        <w:rPr>
          <w:lang w:eastAsia="en-AU" w:bidi="ar-SA"/>
        </w:rPr>
      </w:pPr>
    </w:p>
    <w:p w14:paraId="7962C88D" w14:textId="77777777" w:rsidR="00562517" w:rsidRPr="008C0160" w:rsidRDefault="00562517" w:rsidP="00562517">
      <w:pPr>
        <w:rPr>
          <w:lang w:eastAsia="en-AU" w:bidi="ar-SA"/>
        </w:rPr>
      </w:pPr>
      <w:r w:rsidRPr="008C0160">
        <w:rPr>
          <w:lang w:eastAsia="en-AU" w:bidi="ar-SA"/>
        </w:rPr>
        <w:t>For the acute study,</w:t>
      </w:r>
      <w:r w:rsidR="000F6898" w:rsidRPr="008C0160">
        <w:rPr>
          <w:lang w:eastAsia="en-AU" w:bidi="ar-SA"/>
        </w:rPr>
        <w:t xml:space="preserve"> Brl-</w:t>
      </w:r>
      <w:r w:rsidR="0017617B" w:rsidRPr="008C0160">
        <w:rPr>
          <w:lang w:eastAsia="en-AU" w:bidi="ar-SA"/>
        </w:rPr>
        <w:t>Han: WIST</w:t>
      </w:r>
      <w:r w:rsidR="000F6898" w:rsidRPr="008C0160">
        <w:rPr>
          <w:lang w:eastAsia="en-AU" w:bidi="ar-SA"/>
        </w:rPr>
        <w:t>@Jcl rats, 5 weeks old on receipt, were acclimated for a week under standard laboratory husbandry conditions before being assigned to control and treatment groups</w:t>
      </w:r>
      <w:r w:rsidR="001773F4" w:rsidRPr="008C0160">
        <w:rPr>
          <w:lang w:eastAsia="en-AU" w:bidi="ar-SA"/>
        </w:rPr>
        <w:t xml:space="preserve">, </w:t>
      </w:r>
      <w:r w:rsidR="000F6898" w:rsidRPr="008C0160">
        <w:rPr>
          <w:lang w:eastAsia="en-AU" w:bidi="ar-SA"/>
        </w:rPr>
        <w:t xml:space="preserve">5 rats/sex/group. </w:t>
      </w:r>
      <w:r w:rsidR="001773F4" w:rsidRPr="008C0160">
        <w:rPr>
          <w:lang w:eastAsia="en-AU" w:bidi="ar-SA"/>
        </w:rPr>
        <w:t>Rats were group-housed, 5/cage. Rats in the treatment group were dosed by oral gavage with WGP</w:t>
      </w:r>
      <w:r w:rsidR="001773F4" w:rsidRPr="008C0160">
        <w:rPr>
          <w:rFonts w:cs="Arial"/>
          <w:lang w:eastAsia="en-AU" w:bidi="ar-SA"/>
        </w:rPr>
        <w:t>®</w:t>
      </w:r>
      <w:r w:rsidR="001773F4" w:rsidRPr="008C0160">
        <w:rPr>
          <w:lang w:eastAsia="en-AU" w:bidi="ar-SA"/>
        </w:rPr>
        <w:t xml:space="preserve"> 3-6 in suspension at 2000 mg/kg bw (20 mL/kg bw). Control rats were dosed with water at the same volume, 20 mL/kg bw. Rats were observed for 14 days. Bodyweights were recorded prior to dosing and on days 7 and 14. All rats survived to the end of the study and there were no differences between the control and treatment groups in clinical observations, bodyweight gain or findings on gross necropsy. It was concluded that the acute oral LD</w:t>
      </w:r>
      <w:r w:rsidR="001773F4" w:rsidRPr="008C0160">
        <w:rPr>
          <w:vertAlign w:val="subscript"/>
          <w:lang w:eastAsia="en-AU" w:bidi="ar-SA"/>
        </w:rPr>
        <w:t xml:space="preserve">50 </w:t>
      </w:r>
      <w:r w:rsidR="001773F4" w:rsidRPr="008C0160">
        <w:rPr>
          <w:lang w:eastAsia="en-AU" w:bidi="ar-SA"/>
        </w:rPr>
        <w:t>for WGP</w:t>
      </w:r>
      <w:r w:rsidR="001773F4" w:rsidRPr="008C0160">
        <w:rPr>
          <w:rFonts w:cs="Arial"/>
          <w:lang w:eastAsia="en-AU" w:bidi="ar-SA"/>
        </w:rPr>
        <w:t>®</w:t>
      </w:r>
      <w:r w:rsidR="001773F4" w:rsidRPr="008C0160">
        <w:rPr>
          <w:lang w:eastAsia="en-AU" w:bidi="ar-SA"/>
        </w:rPr>
        <w:t xml:space="preserve"> 3-6 in rats was &gt;2000 mg/kg bw.</w:t>
      </w:r>
    </w:p>
    <w:p w14:paraId="5DB4C0F5" w14:textId="77777777" w:rsidR="001773F4" w:rsidRPr="008C0160" w:rsidRDefault="001773F4" w:rsidP="00562517">
      <w:pPr>
        <w:rPr>
          <w:lang w:eastAsia="en-AU" w:bidi="ar-SA"/>
        </w:rPr>
      </w:pPr>
    </w:p>
    <w:p w14:paraId="7A5B5B08" w14:textId="77777777" w:rsidR="001773F4" w:rsidRPr="008C0160" w:rsidRDefault="001773F4" w:rsidP="00562517">
      <w:pPr>
        <w:rPr>
          <w:lang w:eastAsia="en-AU" w:bidi="ar-SA"/>
        </w:rPr>
      </w:pPr>
      <w:r w:rsidRPr="008C0160">
        <w:rPr>
          <w:lang w:eastAsia="en-AU" w:bidi="ar-SA"/>
        </w:rPr>
        <w:t xml:space="preserve">Fischer-344 rats were used for the subchronic study. Rats were </w:t>
      </w:r>
      <w:r w:rsidR="00037D6E" w:rsidRPr="008C0160">
        <w:rPr>
          <w:lang w:eastAsia="en-AU" w:bidi="ar-SA"/>
        </w:rPr>
        <w:t xml:space="preserve">group-housed, 5/cage, </w:t>
      </w:r>
      <w:r w:rsidRPr="008C0160">
        <w:rPr>
          <w:lang w:eastAsia="en-AU" w:bidi="ar-SA"/>
        </w:rPr>
        <w:t xml:space="preserve">under standard laboratory husbandry conditions and randomly assigned </w:t>
      </w:r>
      <w:r w:rsidR="00037D6E" w:rsidRPr="008C0160">
        <w:rPr>
          <w:lang w:eastAsia="en-AU" w:bidi="ar-SA"/>
        </w:rPr>
        <w:t xml:space="preserve">by weight </w:t>
      </w:r>
      <w:r w:rsidRPr="008C0160">
        <w:rPr>
          <w:lang w:eastAsia="en-AU" w:bidi="ar-SA"/>
        </w:rPr>
        <w:t xml:space="preserve">to </w:t>
      </w:r>
      <w:r w:rsidR="00037D6E" w:rsidRPr="008C0160">
        <w:rPr>
          <w:lang w:eastAsia="en-AU" w:bidi="ar-SA"/>
        </w:rPr>
        <w:t xml:space="preserve">groups treated by oral gavage with WGP® 3-6 at 0, 2, 33.3 or 100 mg/kg bw/day for 91 days. The low-and mid-dose groups comprised 10 rats/sex/group. The control and high-dose groups comprised 20/sex/group, of which 10 rats/sex/group were assigned to recovery cohorts for a 14-day recovery phase.  </w:t>
      </w:r>
    </w:p>
    <w:p w14:paraId="1DC02E8E" w14:textId="77777777" w:rsidR="00037D6E" w:rsidRPr="008C0160" w:rsidRDefault="00037D6E" w:rsidP="00562517">
      <w:pPr>
        <w:rPr>
          <w:lang w:eastAsia="en-AU" w:bidi="ar-SA"/>
        </w:rPr>
      </w:pPr>
    </w:p>
    <w:p w14:paraId="70C6BFBF" w14:textId="77777777" w:rsidR="00BD6967" w:rsidRPr="008C0160" w:rsidRDefault="00037D6E" w:rsidP="00562517">
      <w:pPr>
        <w:rPr>
          <w:lang w:eastAsia="en-AU" w:bidi="ar-SA"/>
        </w:rPr>
      </w:pPr>
      <w:r w:rsidRPr="008C0160">
        <w:rPr>
          <w:lang w:eastAsia="en-AU" w:bidi="ar-SA"/>
        </w:rPr>
        <w:t>Rats were 5-6 weeks old at study start. Clinical observations included twice-daily morbidity/mortality check, daily cage</w:t>
      </w:r>
      <w:r w:rsidR="00D150AA" w:rsidRPr="008C0160">
        <w:rPr>
          <w:lang w:eastAsia="en-AU" w:bidi="ar-SA"/>
        </w:rPr>
        <w:t>-</w:t>
      </w:r>
      <w:r w:rsidRPr="008C0160">
        <w:rPr>
          <w:lang w:eastAsia="en-AU" w:bidi="ar-SA"/>
        </w:rPr>
        <w:t>side observations, and a weekly detailed clinical examination. Other in-life assessments were ophthalmic examination pre</w:t>
      </w:r>
      <w:r w:rsidR="00D150AA" w:rsidRPr="008C0160">
        <w:rPr>
          <w:lang w:eastAsia="en-AU" w:bidi="ar-SA"/>
        </w:rPr>
        <w:t>-</w:t>
      </w:r>
      <w:r w:rsidRPr="008C0160">
        <w:rPr>
          <w:lang w:eastAsia="en-AU" w:bidi="ar-SA"/>
        </w:rPr>
        <w:t>study and prior to scheduled termination, weekly body weight measurement, weekly food consumption measurement, and functional</w:t>
      </w:r>
      <w:r w:rsidR="006C4207" w:rsidRPr="008C0160">
        <w:rPr>
          <w:lang w:eastAsia="en-AU" w:bidi="ar-SA"/>
        </w:rPr>
        <w:t xml:space="preserve"> and behavioural investigations which were conducted at an unspecified time near the end of the study. These included beam walking test, bar grip test, open field test and placing response assessment. Rats in the main study cohorts were killed following blood collection on Day 92 while rats in the recovery cohorts were killed following blood collection on Day 106. Blood was used for standard haematology and serum chemistry. All rats were subject to a full necropsy. Fresh weight was determined for liver, brain, heart, kidneys, spleen, adrenals, testes, epididymides, uterus, ovaries and thymus. Histopathology was conducted on a comprehensive list of tissues</w:t>
      </w:r>
      <w:r w:rsidR="00BD6967" w:rsidRPr="008C0160">
        <w:rPr>
          <w:lang w:eastAsia="en-AU" w:bidi="ar-SA"/>
        </w:rPr>
        <w:t>.</w:t>
      </w:r>
    </w:p>
    <w:p w14:paraId="13B6EB24" w14:textId="77777777" w:rsidR="00BD6967" w:rsidRPr="008C0160" w:rsidRDefault="00BD6967" w:rsidP="00562517">
      <w:pPr>
        <w:rPr>
          <w:lang w:eastAsia="en-AU" w:bidi="ar-SA"/>
        </w:rPr>
      </w:pPr>
    </w:p>
    <w:p w14:paraId="6B677527" w14:textId="77777777" w:rsidR="00080AA3" w:rsidRPr="008C0160" w:rsidRDefault="008576AE" w:rsidP="00562517">
      <w:pPr>
        <w:rPr>
          <w:lang w:eastAsia="en-AU" w:bidi="ar-SA"/>
        </w:rPr>
      </w:pPr>
      <w:r w:rsidRPr="0017617B">
        <w:rPr>
          <w:lang w:eastAsia="en-AU" w:bidi="ar-SA"/>
        </w:rPr>
        <w:t xml:space="preserve">All rats survived to their scheduled termination, and treatment with WGP® 3-6 had no effects on clinical observations, ophthalmology findings, food consumption, bodyweight gain, neuromuscular function or behaviour. </w:t>
      </w:r>
      <w:r w:rsidR="004B1591" w:rsidRPr="008C0160">
        <w:rPr>
          <w:lang w:eastAsia="en-AU" w:bidi="ar-SA"/>
        </w:rPr>
        <w:t>Statistically significant increases in group mean RBC, MCV and Hct, and decrease in group mean clotting time, in 100 mg/kg bw</w:t>
      </w:r>
      <w:r w:rsidR="004E21B3">
        <w:rPr>
          <w:lang w:eastAsia="en-AU" w:bidi="ar-SA"/>
        </w:rPr>
        <w:t>/day</w:t>
      </w:r>
      <w:r w:rsidR="001559BA">
        <w:rPr>
          <w:lang w:eastAsia="en-AU" w:bidi="ar-SA"/>
        </w:rPr>
        <w:t xml:space="preserve"> </w:t>
      </w:r>
      <w:r w:rsidR="004B1591" w:rsidRPr="008C0160">
        <w:rPr>
          <w:lang w:eastAsia="en-AU" w:bidi="ar-SA"/>
        </w:rPr>
        <w:t xml:space="preserve">males on Day 92 remained within historical control ranges and were not observed in females. </w:t>
      </w:r>
      <w:r w:rsidR="00743D1B" w:rsidRPr="008C0160">
        <w:rPr>
          <w:lang w:eastAsia="en-AU" w:bidi="ar-SA"/>
        </w:rPr>
        <w:t xml:space="preserve">The authors noted that some unusually long clotting times occurred in males in the control group. </w:t>
      </w:r>
      <w:r w:rsidR="004B1591" w:rsidRPr="008C0160">
        <w:rPr>
          <w:lang w:eastAsia="en-AU" w:bidi="ar-SA"/>
        </w:rPr>
        <w:t xml:space="preserve">Some clinical chemistry parameters also showed statistically significant but biologically minimal changes but there was no dose-response </w:t>
      </w:r>
      <w:r w:rsidR="00D150AA" w:rsidRPr="008C0160">
        <w:rPr>
          <w:lang w:eastAsia="en-AU" w:bidi="ar-SA"/>
        </w:rPr>
        <w:t xml:space="preserve">relationship </w:t>
      </w:r>
      <w:r w:rsidR="004B1591" w:rsidRPr="008C0160">
        <w:rPr>
          <w:lang w:eastAsia="en-AU" w:bidi="ar-SA"/>
        </w:rPr>
        <w:t xml:space="preserve">evident. There were no treatment-related effects on findings </w:t>
      </w:r>
      <w:r w:rsidR="00743D1B" w:rsidRPr="008C0160">
        <w:rPr>
          <w:lang w:eastAsia="en-AU" w:bidi="ar-SA"/>
        </w:rPr>
        <w:t>at</w:t>
      </w:r>
      <w:r w:rsidR="004B1591" w:rsidRPr="008C0160">
        <w:rPr>
          <w:lang w:eastAsia="en-AU" w:bidi="ar-SA"/>
        </w:rPr>
        <w:t xml:space="preserve"> gross necropsy</w:t>
      </w:r>
      <w:r w:rsidR="00743D1B" w:rsidRPr="008C0160">
        <w:rPr>
          <w:lang w:eastAsia="en-AU" w:bidi="ar-SA"/>
        </w:rPr>
        <w:t xml:space="preserve">, organ weights, organ weight ratios or findings on histopathology. The authors concluded that the NOAEL for </w:t>
      </w:r>
      <w:r w:rsidR="00D150AA" w:rsidRPr="0017617B">
        <w:rPr>
          <w:lang w:eastAsia="en-AU" w:bidi="ar-SA"/>
        </w:rPr>
        <w:t>WGP® 3-</w:t>
      </w:r>
      <w:r w:rsidR="000179A0" w:rsidRPr="0017617B">
        <w:rPr>
          <w:lang w:eastAsia="en-AU" w:bidi="ar-SA"/>
        </w:rPr>
        <w:t>6 in</w:t>
      </w:r>
      <w:r w:rsidR="00D150AA" w:rsidRPr="0017617B">
        <w:rPr>
          <w:lang w:eastAsia="en-AU" w:bidi="ar-SA"/>
        </w:rPr>
        <w:t xml:space="preserve"> </w:t>
      </w:r>
      <w:r w:rsidR="00743D1B" w:rsidRPr="008C0160">
        <w:rPr>
          <w:lang w:eastAsia="en-AU" w:bidi="ar-SA"/>
        </w:rPr>
        <w:t xml:space="preserve">this study was 100 mg/kg bw/day, the highest dose tested. </w:t>
      </w:r>
    </w:p>
    <w:p w14:paraId="7B065865" w14:textId="77777777" w:rsidR="00445C90" w:rsidRPr="008C0160" w:rsidRDefault="00F05977" w:rsidP="0017617B">
      <w:pPr>
        <w:pStyle w:val="Heading3"/>
      </w:pPr>
      <w:bookmarkStart w:id="69" w:name="_Toc476908574"/>
      <w:bookmarkStart w:id="70" w:name="_Toc478375796"/>
      <w:r w:rsidRPr="008C0160">
        <w:t>3.</w:t>
      </w:r>
      <w:r w:rsidR="001559BA">
        <w:t>4</w:t>
      </w:r>
      <w:r w:rsidRPr="008C0160">
        <w:t>.3</w:t>
      </w:r>
      <w:r w:rsidRPr="008C0160">
        <w:tab/>
      </w:r>
      <w:r w:rsidR="00445C90" w:rsidRPr="008C0160">
        <w:t xml:space="preserve">28-day dietary study of barley </w:t>
      </w:r>
      <w:r w:rsidR="003515FC">
        <w:t>b</w:t>
      </w:r>
      <w:r w:rsidR="00FF4A0B" w:rsidRPr="008C0160">
        <w:t xml:space="preserve">eta-glucan </w:t>
      </w:r>
      <w:r w:rsidR="00445C90" w:rsidRPr="008C0160">
        <w:t>in rats</w:t>
      </w:r>
      <w:bookmarkEnd w:id="69"/>
      <w:bookmarkEnd w:id="70"/>
      <w:r w:rsidR="00445C90" w:rsidRPr="008C0160">
        <w:t xml:space="preserve"> </w:t>
      </w:r>
    </w:p>
    <w:p w14:paraId="3D7A0504" w14:textId="77777777" w:rsidR="00445C90" w:rsidRPr="008C0160" w:rsidRDefault="00445C90" w:rsidP="005F3CB7">
      <w:pPr>
        <w:rPr>
          <w:lang w:eastAsia="en-AU" w:bidi="ar-SA"/>
        </w:rPr>
      </w:pPr>
      <w:r w:rsidRPr="008C0160">
        <w:rPr>
          <w:lang w:eastAsia="en-AU" w:bidi="ar-SA"/>
        </w:rPr>
        <w:t xml:space="preserve">The test </w:t>
      </w:r>
      <w:r w:rsidR="000179A0" w:rsidRPr="008C0160">
        <w:rPr>
          <w:lang w:eastAsia="en-AU" w:bidi="ar-SA"/>
        </w:rPr>
        <w:t>article</w:t>
      </w:r>
      <w:r w:rsidRPr="008C0160">
        <w:rPr>
          <w:lang w:eastAsia="en-AU" w:bidi="ar-SA"/>
        </w:rPr>
        <w:t xml:space="preserve"> in this study </w:t>
      </w:r>
      <w:r w:rsidR="007E45EB" w:rsidRPr="008C0160">
        <w:t>(Jonker et al. 2010)</w:t>
      </w:r>
      <w:r w:rsidR="00791EE9" w:rsidRPr="008C0160">
        <w:rPr>
          <w:i/>
        </w:rPr>
        <w:t xml:space="preserve"> </w:t>
      </w:r>
      <w:r w:rsidRPr="008C0160">
        <w:rPr>
          <w:lang w:eastAsia="en-AU" w:bidi="ar-SA"/>
        </w:rPr>
        <w:t xml:space="preserve">was a high-purity (75.6%) </w:t>
      </w:r>
      <w:r w:rsidR="00FF4A0B" w:rsidRPr="008C0160">
        <w:rPr>
          <w:rFonts w:cs="Arial"/>
          <w:lang w:eastAsia="en-AU" w:bidi="ar-SA"/>
        </w:rPr>
        <w:t xml:space="preserve">Beta-glucan </w:t>
      </w:r>
      <w:r w:rsidRPr="008C0160">
        <w:rPr>
          <w:lang w:eastAsia="en-AU" w:bidi="ar-SA"/>
        </w:rPr>
        <w:lastRenderedPageBreak/>
        <w:t>preparation with the trade name Glucagel</w:t>
      </w:r>
      <w:r w:rsidRPr="008C0160">
        <w:rPr>
          <w:vertAlign w:val="superscript"/>
          <w:lang w:eastAsia="en-AU" w:bidi="ar-SA"/>
        </w:rPr>
        <w:t>TM</w:t>
      </w:r>
      <w:r w:rsidRPr="008C0160">
        <w:rPr>
          <w:lang w:eastAsia="en-AU" w:bidi="ar-SA"/>
        </w:rPr>
        <w:t>. Wistar rats, 5/se</w:t>
      </w:r>
      <w:r w:rsidR="00281058" w:rsidRPr="008C0160">
        <w:rPr>
          <w:lang w:eastAsia="en-AU" w:bidi="ar-SA"/>
        </w:rPr>
        <w:t>x</w:t>
      </w:r>
      <w:r w:rsidRPr="008C0160">
        <w:rPr>
          <w:lang w:eastAsia="en-AU" w:bidi="ar-SA"/>
        </w:rPr>
        <w:t>/group</w:t>
      </w:r>
      <w:r w:rsidR="00D150AA" w:rsidRPr="008C0160">
        <w:rPr>
          <w:lang w:eastAsia="en-AU" w:bidi="ar-SA"/>
        </w:rPr>
        <w:t>,</w:t>
      </w:r>
      <w:r w:rsidRPr="008C0160">
        <w:rPr>
          <w:lang w:eastAsia="en-AU" w:bidi="ar-SA"/>
        </w:rPr>
        <w:t xml:space="preserve"> were group-housed under standard laboratory husbandry conditions and fed commercial rodent diet to which was added 0, 1, 5 or 10% Glucagel</w:t>
      </w:r>
      <w:r w:rsidRPr="008C0160">
        <w:rPr>
          <w:vertAlign w:val="superscript"/>
          <w:lang w:eastAsia="en-AU" w:bidi="ar-SA"/>
        </w:rPr>
        <w:t>TM</w:t>
      </w:r>
      <w:r w:rsidRPr="008C0160">
        <w:rPr>
          <w:lang w:eastAsia="en-AU" w:bidi="ar-SA"/>
        </w:rPr>
        <w:t>.</w:t>
      </w:r>
      <w:r w:rsidR="00281058" w:rsidRPr="008C0160">
        <w:rPr>
          <w:lang w:eastAsia="en-AU" w:bidi="ar-SA"/>
        </w:rPr>
        <w:t xml:space="preserve"> The control diet itself contained approximately 0.8% </w:t>
      </w:r>
      <w:r w:rsidR="00D83304" w:rsidRPr="008C0160">
        <w:rPr>
          <w:rFonts w:cs="Arial"/>
          <w:lang w:eastAsia="en-AU" w:bidi="ar-SA"/>
        </w:rPr>
        <w:t>Beta</w:t>
      </w:r>
      <w:r w:rsidR="00281058" w:rsidRPr="008C0160">
        <w:rPr>
          <w:lang w:eastAsia="en-AU" w:bidi="ar-SA"/>
        </w:rPr>
        <w:t xml:space="preserve">-glucan. </w:t>
      </w:r>
      <w:r w:rsidRPr="008C0160">
        <w:rPr>
          <w:lang w:eastAsia="en-AU" w:bidi="ar-SA"/>
        </w:rPr>
        <w:t xml:space="preserve"> Rats were observed daily for clinical signs, and were subject to detailed clinical assessment, including neurobehavioural assessment, weekly. A functional observational battery and motor activity assessment were conducted on days 22 through 23 of the in-life phase. Body weights were recorded weekly, and food consumption was estimated by weighing the feeders every 3 to 4 days. </w:t>
      </w:r>
      <w:r w:rsidR="00E17BEC" w:rsidRPr="008C0160">
        <w:rPr>
          <w:lang w:eastAsia="en-AU" w:bidi="ar-SA"/>
        </w:rPr>
        <w:t>Water intake was also estimated, by weighing water bottles every 5 days.</w:t>
      </w:r>
      <w:r w:rsidR="00AC6AAB" w:rsidRPr="008C0160">
        <w:rPr>
          <w:lang w:eastAsia="en-AU" w:bidi="ar-SA"/>
        </w:rPr>
        <w:t xml:space="preserve"> Rats were subject to ophthalmological assessment pre-study and this was repeated in week 4 for rats in the control and 10% Glucagel</w:t>
      </w:r>
      <w:r w:rsidR="00AC6AAB" w:rsidRPr="008C0160">
        <w:rPr>
          <w:vertAlign w:val="superscript"/>
          <w:lang w:eastAsia="en-AU" w:bidi="ar-SA"/>
        </w:rPr>
        <w:t>TM</w:t>
      </w:r>
      <w:r w:rsidR="00AC6AAB" w:rsidRPr="008C0160">
        <w:rPr>
          <w:lang w:eastAsia="en-AU" w:bidi="ar-SA"/>
        </w:rPr>
        <w:t xml:space="preserve"> groups. </w:t>
      </w:r>
      <w:r w:rsidR="00F311F3" w:rsidRPr="008C0160">
        <w:rPr>
          <w:lang w:eastAsia="en-AU" w:bidi="ar-SA"/>
        </w:rPr>
        <w:t>Urine was collected overnight</w:t>
      </w:r>
      <w:r w:rsidR="00D150AA" w:rsidRPr="008C0160">
        <w:rPr>
          <w:lang w:eastAsia="en-AU" w:bidi="ar-SA"/>
        </w:rPr>
        <w:t xml:space="preserve"> </w:t>
      </w:r>
      <w:r w:rsidR="00F311F3" w:rsidRPr="008C0160">
        <w:rPr>
          <w:lang w:eastAsia="en-AU" w:bidi="ar-SA"/>
        </w:rPr>
        <w:t xml:space="preserve">on Day 24. At the end of the study rats were anaesthetised for blood collection from the abdominal aorta, followed by termination by exsanguination.  Rats were subject to gross </w:t>
      </w:r>
      <w:r w:rsidR="0017617B" w:rsidRPr="008C0160">
        <w:rPr>
          <w:lang w:eastAsia="en-AU" w:bidi="ar-SA"/>
        </w:rPr>
        <w:t>necropsy and</w:t>
      </w:r>
      <w:r w:rsidR="00F311F3" w:rsidRPr="008C0160">
        <w:rPr>
          <w:lang w:eastAsia="en-AU" w:bidi="ar-SA"/>
        </w:rPr>
        <w:t xml:space="preserve"> weights of adrenal, brain, full and empty caecum, epididymides, heart, kidneys, liver, ovaries, spleen, testes, thymus and uterus, as applicable by sex, were recorded. The weighed organs were preserved for histopathology, in addition to aorta, colon, eyes, gut-associated lymphoid tissue, axillary and mesenteric lymph nodes, lungs, mammary gland (female), peripheral nerve, oesophagus, oviducts, pancreas, parathyroids, pituitary, </w:t>
      </w:r>
      <w:r w:rsidR="0017617B" w:rsidRPr="008C0160">
        <w:rPr>
          <w:lang w:eastAsia="en-AU" w:bidi="ar-SA"/>
        </w:rPr>
        <w:t>prostate,</w:t>
      </w:r>
      <w:r w:rsidR="00F311F3" w:rsidRPr="008C0160">
        <w:rPr>
          <w:lang w:eastAsia="en-AU" w:bidi="ar-SA"/>
        </w:rPr>
        <w:t xml:space="preserve"> rectum, salivary glands, seminal vesicles, small intestine, spinal cord, sternum, stomach, thyroid, trachea, urinary bladder and vagina, as sex-appropriate. </w:t>
      </w:r>
    </w:p>
    <w:p w14:paraId="0D1F3AB4" w14:textId="77777777" w:rsidR="00281058" w:rsidRPr="008C0160" w:rsidRDefault="00281058" w:rsidP="005F3CB7">
      <w:pPr>
        <w:rPr>
          <w:lang w:eastAsia="en-AU" w:bidi="ar-SA"/>
        </w:rPr>
      </w:pPr>
    </w:p>
    <w:p w14:paraId="021BD37A" w14:textId="77777777" w:rsidR="003854BB" w:rsidRPr="008C0160" w:rsidRDefault="00281058" w:rsidP="005F3CB7">
      <w:pPr>
        <w:rPr>
          <w:lang w:eastAsia="en-AU" w:bidi="ar-SA"/>
        </w:rPr>
      </w:pPr>
      <w:r w:rsidRPr="008C0160">
        <w:rPr>
          <w:lang w:eastAsia="en-AU" w:bidi="ar-SA"/>
        </w:rPr>
        <w:t xml:space="preserve">All rats survived to scheduled termination, and there were no treatment-related clinical effects noted on daily clinical assessment, weekly detailed clinical examination, functional observational battery or motor activity assessment. </w:t>
      </w:r>
      <w:r w:rsidR="00AC6AAB" w:rsidRPr="008C0160">
        <w:rPr>
          <w:lang w:eastAsia="en-AU" w:bidi="ar-SA"/>
        </w:rPr>
        <w:t>Treatment had no effect on ophthalmologic findings. There were no treatment-related effects on body weight, feed consumption or water intake. The group mean daily intake of the 10% Glucagel</w:t>
      </w:r>
      <w:r w:rsidR="00AC6AAB" w:rsidRPr="008C0160">
        <w:rPr>
          <w:vertAlign w:val="superscript"/>
          <w:lang w:eastAsia="en-AU" w:bidi="ar-SA"/>
        </w:rPr>
        <w:t xml:space="preserve">TM </w:t>
      </w:r>
      <w:r w:rsidR="00AC6AAB" w:rsidRPr="008C0160">
        <w:rPr>
          <w:lang w:eastAsia="en-AU" w:bidi="ar-SA"/>
        </w:rPr>
        <w:t>group was 7.7 g Glucagel</w:t>
      </w:r>
      <w:r w:rsidR="00AC6AAB" w:rsidRPr="008C0160">
        <w:rPr>
          <w:vertAlign w:val="superscript"/>
          <w:lang w:eastAsia="en-AU" w:bidi="ar-SA"/>
        </w:rPr>
        <w:t>TM</w:t>
      </w:r>
      <w:r w:rsidR="00AC6AAB" w:rsidRPr="008C0160">
        <w:rPr>
          <w:lang w:eastAsia="en-AU" w:bidi="ar-SA"/>
        </w:rPr>
        <w:t xml:space="preserve"> /kg bw</w:t>
      </w:r>
      <w:r w:rsidR="004E21B3">
        <w:rPr>
          <w:lang w:eastAsia="en-AU" w:bidi="ar-SA"/>
        </w:rPr>
        <w:t>/day</w:t>
      </w:r>
      <w:r w:rsidR="001559BA">
        <w:rPr>
          <w:lang w:eastAsia="en-AU" w:bidi="ar-SA"/>
        </w:rPr>
        <w:t xml:space="preserve"> </w:t>
      </w:r>
      <w:r w:rsidR="00AC6AAB" w:rsidRPr="008C0160">
        <w:rPr>
          <w:lang w:eastAsia="en-AU" w:bidi="ar-SA"/>
        </w:rPr>
        <w:t>for male rats and 7.8 g Glucagel</w:t>
      </w:r>
      <w:r w:rsidR="00AC6AAB" w:rsidRPr="008C0160">
        <w:rPr>
          <w:vertAlign w:val="superscript"/>
          <w:lang w:eastAsia="en-AU" w:bidi="ar-SA"/>
        </w:rPr>
        <w:t>TM</w:t>
      </w:r>
      <w:r w:rsidR="00AC6AAB" w:rsidRPr="008C0160">
        <w:rPr>
          <w:lang w:eastAsia="en-AU" w:bidi="ar-SA"/>
        </w:rPr>
        <w:t xml:space="preserve"> /kg bw</w:t>
      </w:r>
      <w:r w:rsidR="004E21B3">
        <w:rPr>
          <w:lang w:eastAsia="en-AU" w:bidi="ar-SA"/>
        </w:rPr>
        <w:t>/day</w:t>
      </w:r>
      <w:r w:rsidR="001559BA">
        <w:rPr>
          <w:lang w:eastAsia="en-AU" w:bidi="ar-SA"/>
        </w:rPr>
        <w:t xml:space="preserve"> </w:t>
      </w:r>
      <w:r w:rsidR="00AC6AAB" w:rsidRPr="008C0160">
        <w:rPr>
          <w:lang w:eastAsia="en-AU" w:bidi="ar-SA"/>
        </w:rPr>
        <w:t xml:space="preserve">for female rats, equivalent to 5.8 to 5.9 g </w:t>
      </w:r>
      <w:r w:rsidR="001559BA">
        <w:rPr>
          <w:rFonts w:cs="Arial"/>
          <w:lang w:eastAsia="en-AU" w:bidi="ar-SA"/>
        </w:rPr>
        <w:t>b</w:t>
      </w:r>
      <w:r w:rsidR="00D83304" w:rsidRPr="008C0160">
        <w:rPr>
          <w:rFonts w:cs="Arial"/>
          <w:lang w:eastAsia="en-AU" w:bidi="ar-SA"/>
        </w:rPr>
        <w:t>eta</w:t>
      </w:r>
      <w:r w:rsidR="00AC6AAB" w:rsidRPr="008C0160">
        <w:rPr>
          <w:lang w:eastAsia="en-AU" w:bidi="ar-SA"/>
        </w:rPr>
        <w:t>-glucan/kg bw</w:t>
      </w:r>
      <w:r w:rsidR="004E21B3">
        <w:rPr>
          <w:lang w:eastAsia="en-AU" w:bidi="ar-SA"/>
        </w:rPr>
        <w:t>/day.</w:t>
      </w:r>
      <w:r w:rsidR="00AC6AAB" w:rsidRPr="008C0160">
        <w:rPr>
          <w:lang w:eastAsia="en-AU" w:bidi="ar-SA"/>
        </w:rPr>
        <w:t xml:space="preserve"> No treatment-related changes were found in haematology. </w:t>
      </w:r>
      <w:r w:rsidR="00D54D51" w:rsidRPr="008C0160">
        <w:rPr>
          <w:lang w:eastAsia="en-AU" w:bidi="ar-SA"/>
        </w:rPr>
        <w:t>Compared to male controls, male rats in the 10% Glucagel</w:t>
      </w:r>
      <w:r w:rsidR="00D54D51" w:rsidRPr="008C0160">
        <w:rPr>
          <w:vertAlign w:val="superscript"/>
          <w:lang w:eastAsia="en-AU" w:bidi="ar-SA"/>
        </w:rPr>
        <w:t>TM</w:t>
      </w:r>
      <w:r w:rsidR="00D54D51" w:rsidRPr="008C0160">
        <w:rPr>
          <w:lang w:eastAsia="en-AU" w:bidi="ar-SA"/>
        </w:rPr>
        <w:t xml:space="preserve"> group had significantly lower group mean values for plasma total cholesterol (88% of control value) and phospholipids (88% of control value), and significantly higher group mean urea</w:t>
      </w:r>
      <w:r w:rsidR="004F5257" w:rsidRPr="008C0160">
        <w:rPr>
          <w:lang w:eastAsia="en-AU" w:bidi="ar-SA"/>
        </w:rPr>
        <w:t xml:space="preserve"> (125% of control value)</w:t>
      </w:r>
      <w:r w:rsidR="00D54D51" w:rsidRPr="008C0160">
        <w:rPr>
          <w:lang w:eastAsia="en-AU" w:bidi="ar-SA"/>
        </w:rPr>
        <w:t>.</w:t>
      </w:r>
      <w:r w:rsidR="003854BB" w:rsidRPr="008C0160">
        <w:rPr>
          <w:lang w:eastAsia="en-AU" w:bidi="ar-SA"/>
        </w:rPr>
        <w:t xml:space="preserve"> The group mean urea remained within normal range and there were no associated effects on other measures of renal function such as plasma creatinine, urinalysis, kidney weights or histopathology of the kidneys. </w:t>
      </w:r>
      <w:r w:rsidR="004F5257" w:rsidRPr="008C0160">
        <w:rPr>
          <w:lang w:eastAsia="en-AU" w:bidi="ar-SA"/>
        </w:rPr>
        <w:t xml:space="preserve">The </w:t>
      </w:r>
      <w:r w:rsidR="003854BB" w:rsidRPr="008C0160">
        <w:rPr>
          <w:lang w:eastAsia="en-AU" w:bidi="ar-SA"/>
        </w:rPr>
        <w:t xml:space="preserve">group mean </w:t>
      </w:r>
      <w:r w:rsidR="004F5257" w:rsidRPr="008C0160">
        <w:rPr>
          <w:lang w:eastAsia="en-AU" w:bidi="ar-SA"/>
        </w:rPr>
        <w:t xml:space="preserve">weight of empty caecum was increased in male rats consuming </w:t>
      </w:r>
      <w:r w:rsidR="004F5257" w:rsidRPr="008C0160">
        <w:rPr>
          <w:rFonts w:cs="Arial"/>
          <w:lang w:eastAsia="en-AU" w:bidi="ar-SA"/>
        </w:rPr>
        <w:t>≥</w:t>
      </w:r>
      <w:r w:rsidR="004F5257" w:rsidRPr="008C0160">
        <w:rPr>
          <w:lang w:eastAsia="en-AU" w:bidi="ar-SA"/>
        </w:rPr>
        <w:t xml:space="preserve"> 5% Glucagel</w:t>
      </w:r>
      <w:r w:rsidR="004F5257" w:rsidRPr="008C0160">
        <w:rPr>
          <w:vertAlign w:val="superscript"/>
          <w:lang w:eastAsia="en-AU" w:bidi="ar-SA"/>
        </w:rPr>
        <w:t>TM</w:t>
      </w:r>
      <w:r w:rsidR="004F5257" w:rsidRPr="008C0160">
        <w:rPr>
          <w:lang w:eastAsia="en-AU" w:bidi="ar-SA"/>
        </w:rPr>
        <w:t>, and showed a dose-response relationship</w:t>
      </w:r>
      <w:r w:rsidR="003854BB" w:rsidRPr="008C0160">
        <w:rPr>
          <w:lang w:eastAsia="en-AU" w:bidi="ar-SA"/>
        </w:rPr>
        <w:t>. The group mean weight of the empty caecum of the females in the 10% Glucagel</w:t>
      </w:r>
      <w:r w:rsidR="003854BB" w:rsidRPr="008C0160">
        <w:rPr>
          <w:vertAlign w:val="superscript"/>
          <w:lang w:eastAsia="en-AU" w:bidi="ar-SA"/>
        </w:rPr>
        <w:t xml:space="preserve">TM </w:t>
      </w:r>
      <w:r w:rsidR="003854BB" w:rsidRPr="008C0160">
        <w:rPr>
          <w:lang w:eastAsia="en-AU" w:bidi="ar-SA"/>
        </w:rPr>
        <w:t>group was approximately 40% higher than that of female controls, but this difference was not statistically significant. Consumption of Glucagel</w:t>
      </w:r>
      <w:r w:rsidR="003854BB" w:rsidRPr="008C0160">
        <w:rPr>
          <w:vertAlign w:val="superscript"/>
          <w:lang w:eastAsia="en-AU" w:bidi="ar-SA"/>
        </w:rPr>
        <w:t xml:space="preserve">TM </w:t>
      </w:r>
      <w:r w:rsidR="003854BB" w:rsidRPr="008C0160">
        <w:rPr>
          <w:lang w:eastAsia="en-AU" w:bidi="ar-SA"/>
        </w:rPr>
        <w:t xml:space="preserve">was not associated with gross or microscopic lesions in either sex. </w:t>
      </w:r>
    </w:p>
    <w:p w14:paraId="008C98C3" w14:textId="77777777" w:rsidR="003854BB" w:rsidRPr="008C0160" w:rsidRDefault="003854BB" w:rsidP="005F3CB7">
      <w:pPr>
        <w:rPr>
          <w:lang w:eastAsia="en-AU" w:bidi="ar-SA"/>
        </w:rPr>
      </w:pPr>
    </w:p>
    <w:p w14:paraId="2CCD0F1D" w14:textId="77777777" w:rsidR="000F5240" w:rsidRPr="008C0160" w:rsidRDefault="003854BB" w:rsidP="005F3CB7">
      <w:pPr>
        <w:rPr>
          <w:lang w:eastAsia="en-AU" w:bidi="ar-SA"/>
        </w:rPr>
      </w:pPr>
      <w:r w:rsidRPr="008C0160">
        <w:rPr>
          <w:lang w:eastAsia="en-AU" w:bidi="ar-SA"/>
        </w:rPr>
        <w:t xml:space="preserve">Increase in caecal weight is a common response in rats to </w:t>
      </w:r>
      <w:r w:rsidR="000179A0" w:rsidRPr="008C0160">
        <w:rPr>
          <w:lang w:eastAsia="en-AU" w:bidi="ar-SA"/>
        </w:rPr>
        <w:t>consumption</w:t>
      </w:r>
      <w:r w:rsidRPr="008C0160">
        <w:rPr>
          <w:lang w:eastAsia="en-AU" w:bidi="ar-SA"/>
        </w:rPr>
        <w:t xml:space="preserve"> of poorly digestible carbohydrate and is considered to be a physiological adaptation. Decreased concentration of serum cholesterol is a well-known effect of </w:t>
      </w:r>
      <w:r w:rsidR="00FF4A0B" w:rsidRPr="008C0160">
        <w:rPr>
          <w:rFonts w:cs="Arial"/>
          <w:lang w:eastAsia="en-AU" w:bidi="ar-SA"/>
        </w:rPr>
        <w:t xml:space="preserve">Beta-glucan </w:t>
      </w:r>
      <w:r w:rsidRPr="008C0160">
        <w:rPr>
          <w:lang w:eastAsia="en-AU" w:bidi="ar-SA"/>
        </w:rPr>
        <w:t xml:space="preserve">in animals. The decreased plasma lipid levels in male rats were not accompanied by any adverse findings and were not considered to be toxicologically relevant. The NOAEL for </w:t>
      </w:r>
      <w:r w:rsidR="00C050FF" w:rsidRPr="008C0160">
        <w:rPr>
          <w:lang w:eastAsia="en-AU" w:bidi="ar-SA"/>
        </w:rPr>
        <w:t xml:space="preserve">dietary </w:t>
      </w:r>
      <w:r w:rsidRPr="008C0160">
        <w:rPr>
          <w:lang w:eastAsia="en-AU" w:bidi="ar-SA"/>
        </w:rPr>
        <w:t>Glucagel</w:t>
      </w:r>
      <w:r w:rsidRPr="008C0160">
        <w:rPr>
          <w:vertAlign w:val="superscript"/>
          <w:lang w:eastAsia="en-AU" w:bidi="ar-SA"/>
        </w:rPr>
        <w:t xml:space="preserve">TM </w:t>
      </w:r>
      <w:r w:rsidRPr="008C0160">
        <w:rPr>
          <w:lang w:eastAsia="en-AU" w:bidi="ar-SA"/>
        </w:rPr>
        <w:t xml:space="preserve">in this study </w:t>
      </w:r>
      <w:r w:rsidR="00C050FF" w:rsidRPr="008C0160">
        <w:rPr>
          <w:lang w:eastAsia="en-AU" w:bidi="ar-SA"/>
        </w:rPr>
        <w:t>was therefore the highest dose level, 10% Glucagel</w:t>
      </w:r>
      <w:r w:rsidR="00C050FF" w:rsidRPr="008C0160">
        <w:rPr>
          <w:vertAlign w:val="superscript"/>
          <w:lang w:eastAsia="en-AU" w:bidi="ar-SA"/>
        </w:rPr>
        <w:t>TM</w:t>
      </w:r>
      <w:r w:rsidR="00C050FF" w:rsidRPr="008C0160">
        <w:rPr>
          <w:lang w:eastAsia="en-AU" w:bidi="ar-SA"/>
        </w:rPr>
        <w:t xml:space="preserve">, equivalent to 5.8 to 5.9 g </w:t>
      </w:r>
      <w:r w:rsidR="001559BA">
        <w:rPr>
          <w:rFonts w:cs="Arial"/>
          <w:lang w:eastAsia="en-AU" w:bidi="ar-SA"/>
        </w:rPr>
        <w:t>b</w:t>
      </w:r>
      <w:r w:rsidR="00FF4A0B" w:rsidRPr="008C0160">
        <w:rPr>
          <w:rFonts w:cs="Arial"/>
          <w:lang w:eastAsia="en-AU" w:bidi="ar-SA"/>
        </w:rPr>
        <w:t xml:space="preserve">eta-glucan </w:t>
      </w:r>
      <w:r w:rsidR="00C050FF" w:rsidRPr="008C0160">
        <w:rPr>
          <w:lang w:eastAsia="en-AU" w:bidi="ar-SA"/>
        </w:rPr>
        <w:t>/kg bw</w:t>
      </w:r>
      <w:r w:rsidR="004E21B3">
        <w:rPr>
          <w:lang w:eastAsia="en-AU" w:bidi="ar-SA"/>
        </w:rPr>
        <w:t>/day.</w:t>
      </w:r>
      <w:r w:rsidR="00C050FF" w:rsidRPr="008C0160">
        <w:rPr>
          <w:lang w:eastAsia="en-AU" w:bidi="ar-SA"/>
        </w:rPr>
        <w:t xml:space="preserve"> </w:t>
      </w:r>
    </w:p>
    <w:p w14:paraId="51C9A4B1" w14:textId="77777777" w:rsidR="00357D2D" w:rsidRPr="008C0160" w:rsidRDefault="00F05977" w:rsidP="0017617B">
      <w:pPr>
        <w:pStyle w:val="Heading3"/>
      </w:pPr>
      <w:bookmarkStart w:id="71" w:name="_Toc472668685"/>
      <w:bookmarkStart w:id="72" w:name="_Toc476908575"/>
      <w:bookmarkStart w:id="73" w:name="_Toc478375797"/>
      <w:r w:rsidRPr="008C0160">
        <w:t>3.</w:t>
      </w:r>
      <w:r w:rsidR="004E6236">
        <w:t>5</w:t>
      </w:r>
      <w:r w:rsidRPr="008C0160">
        <w:tab/>
      </w:r>
      <w:r w:rsidR="00813A90" w:rsidRPr="008C0160">
        <w:t xml:space="preserve">Human </w:t>
      </w:r>
      <w:r w:rsidR="00357D2D" w:rsidRPr="008C0160">
        <w:t>Studies</w:t>
      </w:r>
      <w:bookmarkEnd w:id="71"/>
      <w:bookmarkEnd w:id="72"/>
      <w:bookmarkEnd w:id="73"/>
    </w:p>
    <w:p w14:paraId="3FC00D34" w14:textId="77777777" w:rsidR="00233F8D" w:rsidRPr="008C0160" w:rsidRDefault="00F05977" w:rsidP="0017617B">
      <w:pPr>
        <w:pStyle w:val="Heading4"/>
      </w:pPr>
      <w:r w:rsidRPr="008C0160">
        <w:t>3.</w:t>
      </w:r>
      <w:r w:rsidR="004E6236">
        <w:t>5</w:t>
      </w:r>
      <w:r w:rsidRPr="008C0160">
        <w:t>.1</w:t>
      </w:r>
      <w:r w:rsidRPr="008C0160">
        <w:tab/>
      </w:r>
      <w:r w:rsidR="00233F8D" w:rsidRPr="008C0160">
        <w:t>6-week randomi</w:t>
      </w:r>
      <w:r w:rsidRPr="008C0160">
        <w:t>s</w:t>
      </w:r>
      <w:r w:rsidR="00233F8D" w:rsidRPr="008C0160">
        <w:t xml:space="preserve">ed controlled trial of </w:t>
      </w:r>
      <w:r w:rsidR="00A563F3" w:rsidRPr="008C0160">
        <w:t>chitin-glucan</w:t>
      </w:r>
    </w:p>
    <w:p w14:paraId="45C75F74" w14:textId="77777777" w:rsidR="00233F8D" w:rsidRPr="008C0160" w:rsidRDefault="00FA2370" w:rsidP="00233F8D">
      <w:pPr>
        <w:rPr>
          <w:lang w:eastAsia="en-AU" w:bidi="ar-SA"/>
        </w:rPr>
      </w:pPr>
      <w:r w:rsidRPr="008C0160">
        <w:rPr>
          <w:lang w:eastAsia="en-AU" w:bidi="ar-SA"/>
        </w:rPr>
        <w:t xml:space="preserve">This efficacy study </w:t>
      </w:r>
      <w:r w:rsidR="007E45EB" w:rsidRPr="008C0160">
        <w:t>(Bays et al. 2013)</w:t>
      </w:r>
      <w:r w:rsidR="007E45EB" w:rsidRPr="008C0160">
        <w:rPr>
          <w:b/>
          <w:i/>
        </w:rPr>
        <w:t xml:space="preserve"> </w:t>
      </w:r>
      <w:r w:rsidRPr="008C0160">
        <w:rPr>
          <w:lang w:eastAsia="en-AU" w:bidi="ar-SA"/>
        </w:rPr>
        <w:t xml:space="preserve">was a double-blind, placebo-controlled study of </w:t>
      </w:r>
      <w:r w:rsidR="00A563F3" w:rsidRPr="008C0160">
        <w:rPr>
          <w:lang w:eastAsia="en-AU" w:bidi="ar-SA"/>
        </w:rPr>
        <w:t>chitin-glucan</w:t>
      </w:r>
      <w:r w:rsidRPr="008C0160">
        <w:rPr>
          <w:lang w:eastAsia="en-AU" w:bidi="ar-SA"/>
        </w:rPr>
        <w:t xml:space="preserve"> derived from </w:t>
      </w:r>
      <w:r w:rsidRPr="008C0160">
        <w:rPr>
          <w:i/>
          <w:lang w:eastAsia="en-AU" w:bidi="ar-SA"/>
        </w:rPr>
        <w:t>A</w:t>
      </w:r>
      <w:r w:rsidR="009E51C1" w:rsidRPr="008C0160">
        <w:rPr>
          <w:i/>
          <w:lang w:eastAsia="en-AU" w:bidi="ar-SA"/>
        </w:rPr>
        <w:t>.</w:t>
      </w:r>
      <w:r w:rsidRPr="008C0160">
        <w:rPr>
          <w:i/>
          <w:lang w:eastAsia="en-AU" w:bidi="ar-SA"/>
        </w:rPr>
        <w:t xml:space="preserve"> niger</w:t>
      </w:r>
      <w:r w:rsidRPr="008C0160">
        <w:rPr>
          <w:lang w:eastAsia="en-AU" w:bidi="ar-SA"/>
        </w:rPr>
        <w:t xml:space="preserve"> mycelia. </w:t>
      </w:r>
      <w:r w:rsidR="00670E85" w:rsidRPr="008C0160">
        <w:rPr>
          <w:lang w:eastAsia="en-AU" w:bidi="ar-SA"/>
        </w:rPr>
        <w:t xml:space="preserve">The study was conducted at three different geographical sites. </w:t>
      </w:r>
      <w:r w:rsidRPr="008C0160">
        <w:rPr>
          <w:lang w:eastAsia="en-AU" w:bidi="ar-SA"/>
        </w:rPr>
        <w:t xml:space="preserve">To be eligible to participate, subjects had to be generally healthy, aged </w:t>
      </w:r>
      <w:r w:rsidRPr="008C0160">
        <w:rPr>
          <w:lang w:eastAsia="en-AU" w:bidi="ar-SA"/>
        </w:rPr>
        <w:lastRenderedPageBreak/>
        <w:t xml:space="preserve">between 21 and 70, have a </w:t>
      </w:r>
      <w:r w:rsidR="006259C3">
        <w:rPr>
          <w:lang w:eastAsia="en-AU" w:bidi="ar-SA"/>
        </w:rPr>
        <w:t>body mass index (BMI)</w:t>
      </w:r>
      <w:r w:rsidRPr="008C0160">
        <w:rPr>
          <w:lang w:eastAsia="en-AU" w:bidi="ar-SA"/>
        </w:rPr>
        <w:t xml:space="preserve"> between 18.5 and 34.9 kg/m</w:t>
      </w:r>
      <w:r w:rsidRPr="008C0160">
        <w:rPr>
          <w:vertAlign w:val="superscript"/>
          <w:lang w:eastAsia="en-AU" w:bidi="ar-SA"/>
        </w:rPr>
        <w:t>2</w:t>
      </w:r>
      <w:r w:rsidRPr="008C0160">
        <w:rPr>
          <w:lang w:eastAsia="en-AU" w:bidi="ar-SA"/>
        </w:rPr>
        <w:t xml:space="preserve">, have fasting serum levels of LDC-C between 3.37 and 4.92 mmol/L, and be willing to take a supplement three times daily for 6 weeks. Grounds for exclusion included diabetes mellitus, cancer, gastrointestinal disease, cardiovascular disease, pregnancy, lactation, use of lipid altering drugs or supplements within 4 weeks of screening, &gt; 5% change in bodyweight within 4 weeks of screening, or a known hypersensitivity or intolerance to fibre or fibre-containing products. </w:t>
      </w:r>
      <w:r w:rsidR="00FF4CFC" w:rsidRPr="008C0160">
        <w:rPr>
          <w:lang w:eastAsia="en-AU" w:bidi="ar-SA"/>
        </w:rPr>
        <w:t xml:space="preserve">Eligible subjects were </w:t>
      </w:r>
      <w:r w:rsidR="00FF4CFC" w:rsidRPr="00AB6B8B">
        <w:rPr>
          <w:lang w:eastAsia="en-AU" w:bidi="ar-SA"/>
        </w:rPr>
        <w:t>randomi</w:t>
      </w:r>
      <w:r w:rsidR="00A21748" w:rsidRPr="00AB6B8B">
        <w:rPr>
          <w:lang w:eastAsia="en-AU" w:bidi="ar-SA"/>
        </w:rPr>
        <w:t>s</w:t>
      </w:r>
      <w:r w:rsidR="00FF4CFC" w:rsidRPr="00AB6B8B">
        <w:rPr>
          <w:lang w:eastAsia="en-AU" w:bidi="ar-SA"/>
        </w:rPr>
        <w:t>ed</w:t>
      </w:r>
      <w:r w:rsidR="00FF4CFC" w:rsidRPr="008C0160">
        <w:rPr>
          <w:lang w:eastAsia="en-AU" w:bidi="ar-SA"/>
        </w:rPr>
        <w:t xml:space="preserve"> to receive one of four treatments: 4.5 g</w:t>
      </w:r>
      <w:r w:rsidR="004E21B3">
        <w:rPr>
          <w:lang w:eastAsia="en-AU" w:bidi="ar-SA"/>
        </w:rPr>
        <w:t>/day</w:t>
      </w:r>
      <w:r w:rsidR="004E6236">
        <w:rPr>
          <w:lang w:eastAsia="en-AU" w:bidi="ar-SA"/>
        </w:rPr>
        <w:t xml:space="preserve"> </w:t>
      </w:r>
      <w:r w:rsidR="00A563F3" w:rsidRPr="008C0160">
        <w:rPr>
          <w:lang w:eastAsia="en-AU" w:bidi="ar-SA"/>
        </w:rPr>
        <w:t>chitin-glucan</w:t>
      </w:r>
      <w:r w:rsidR="000179A0" w:rsidRPr="008C0160">
        <w:rPr>
          <w:lang w:eastAsia="en-AU" w:bidi="ar-SA"/>
        </w:rPr>
        <w:t>, (</w:t>
      </w:r>
      <w:r w:rsidR="00FF4CFC" w:rsidRPr="008C0160">
        <w:rPr>
          <w:lang w:eastAsia="en-AU" w:bidi="ar-SA"/>
        </w:rPr>
        <w:t>n=34), 1.5 g</w:t>
      </w:r>
      <w:r w:rsidR="004E21B3">
        <w:rPr>
          <w:lang w:eastAsia="en-AU" w:bidi="ar-SA"/>
        </w:rPr>
        <w:t>/day</w:t>
      </w:r>
      <w:r w:rsidR="004E6236">
        <w:rPr>
          <w:lang w:eastAsia="en-AU" w:bidi="ar-SA"/>
        </w:rPr>
        <w:t xml:space="preserve"> </w:t>
      </w:r>
      <w:r w:rsidR="00A563F3" w:rsidRPr="008C0160">
        <w:rPr>
          <w:lang w:eastAsia="en-AU" w:bidi="ar-SA"/>
        </w:rPr>
        <w:t>chitin-glucan</w:t>
      </w:r>
      <w:r w:rsidR="00FF4CFC" w:rsidRPr="008C0160">
        <w:rPr>
          <w:lang w:eastAsia="en-AU" w:bidi="ar-SA"/>
        </w:rPr>
        <w:t xml:space="preserve"> (n=33), 1.5 g</w:t>
      </w:r>
      <w:r w:rsidR="004E21B3">
        <w:rPr>
          <w:lang w:eastAsia="en-AU" w:bidi="ar-SA"/>
        </w:rPr>
        <w:t>/day</w:t>
      </w:r>
      <w:r w:rsidR="004E6236">
        <w:rPr>
          <w:lang w:eastAsia="en-AU" w:bidi="ar-SA"/>
        </w:rPr>
        <w:t xml:space="preserve"> </w:t>
      </w:r>
      <w:r w:rsidR="00A563F3" w:rsidRPr="008C0160">
        <w:rPr>
          <w:lang w:eastAsia="en-AU" w:bidi="ar-SA"/>
        </w:rPr>
        <w:t>chitin-glucan</w:t>
      </w:r>
      <w:r w:rsidR="00FF4CFC" w:rsidRPr="008C0160">
        <w:rPr>
          <w:lang w:eastAsia="en-AU" w:bidi="ar-SA"/>
        </w:rPr>
        <w:t xml:space="preserve"> plus 135 mg</w:t>
      </w:r>
      <w:r w:rsidR="004E21B3">
        <w:rPr>
          <w:lang w:eastAsia="en-AU" w:bidi="ar-SA"/>
        </w:rPr>
        <w:t>/day</w:t>
      </w:r>
      <w:r w:rsidR="004E6236">
        <w:rPr>
          <w:lang w:eastAsia="en-AU" w:bidi="ar-SA"/>
        </w:rPr>
        <w:t xml:space="preserve"> </w:t>
      </w:r>
      <w:r w:rsidR="00FF4CFC" w:rsidRPr="008C0160">
        <w:rPr>
          <w:lang w:eastAsia="en-AU" w:bidi="ar-SA"/>
        </w:rPr>
        <w:t xml:space="preserve">olive extract (n=33) or rice flour as placebo (n=35). The treatments were administered in capsules and subjects were instructed to take three capsules three times a day, with water before each main meal, for 6 weeks. Pre-study blood testing included TSH, complete blood count and fasting serum triglycerides, LDL-C, total cholesterol and HDL-C. Subjects were asked to follow a maintenance diet regimen from two weeks prior to the start of treatment, through to the end of the study. No other supplements were used during the study. </w:t>
      </w:r>
    </w:p>
    <w:p w14:paraId="0CA5BDA2" w14:textId="77777777" w:rsidR="006E5658" w:rsidRPr="008C0160" w:rsidRDefault="006E5658" w:rsidP="00233F8D">
      <w:pPr>
        <w:rPr>
          <w:lang w:eastAsia="en-AU" w:bidi="ar-SA"/>
        </w:rPr>
      </w:pPr>
    </w:p>
    <w:p w14:paraId="4D68B72F" w14:textId="77777777" w:rsidR="006E5658" w:rsidRPr="008C0160" w:rsidRDefault="006E5658" w:rsidP="00233F8D">
      <w:pPr>
        <w:rPr>
          <w:lang w:eastAsia="en-AU" w:bidi="ar-SA"/>
        </w:rPr>
      </w:pPr>
      <w:r w:rsidRPr="008C0160">
        <w:rPr>
          <w:lang w:eastAsia="en-AU" w:bidi="ar-SA"/>
        </w:rPr>
        <w:t xml:space="preserve">Assessments at study start, week 4 and week 6 included </w:t>
      </w:r>
      <w:r w:rsidR="00D150AA" w:rsidRPr="008C0160">
        <w:rPr>
          <w:lang w:eastAsia="en-AU" w:bidi="ar-SA"/>
        </w:rPr>
        <w:t xml:space="preserve">body </w:t>
      </w:r>
      <w:r w:rsidR="000179A0" w:rsidRPr="008C0160">
        <w:rPr>
          <w:lang w:eastAsia="en-AU" w:bidi="ar-SA"/>
        </w:rPr>
        <w:t>weights</w:t>
      </w:r>
      <w:r w:rsidRPr="008C0160">
        <w:rPr>
          <w:lang w:eastAsia="en-AU" w:bidi="ar-SA"/>
        </w:rPr>
        <w:t xml:space="preserve">, blood pressure, fasting serum lipids, oxidised LDL, insulin, and urinary F2-isoprostane. Subjects were interviewed on adverse events, compliance with treatment and adherence to the diet. </w:t>
      </w:r>
    </w:p>
    <w:p w14:paraId="45485CEB" w14:textId="77777777" w:rsidR="00D10AD8" w:rsidRPr="008C0160" w:rsidRDefault="00D10AD8" w:rsidP="00233F8D">
      <w:pPr>
        <w:rPr>
          <w:lang w:eastAsia="en-AU" w:bidi="ar-SA"/>
        </w:rPr>
      </w:pPr>
    </w:p>
    <w:p w14:paraId="04216ADB" w14:textId="77777777" w:rsidR="00D10AD8" w:rsidRPr="008C0160" w:rsidRDefault="00A563F3" w:rsidP="00233F8D">
      <w:pPr>
        <w:rPr>
          <w:lang w:eastAsia="en-AU" w:bidi="ar-SA"/>
        </w:rPr>
      </w:pPr>
      <w:r w:rsidRPr="008C0160">
        <w:rPr>
          <w:lang w:eastAsia="en-AU" w:bidi="ar-SA"/>
        </w:rPr>
        <w:t>Chitin-glucan</w:t>
      </w:r>
      <w:r w:rsidR="00D10AD8" w:rsidRPr="008C0160">
        <w:rPr>
          <w:lang w:eastAsia="en-AU" w:bidi="ar-SA"/>
        </w:rPr>
        <w:t xml:space="preserve"> for 6 weeks was generally well tolerated. Although some participants reported mild to moderate gastrointestinal complaints, there were no significant differences in the frequencies between any of the three treatment groups and the placebo control group. One subject taking 4.5 g </w:t>
      </w:r>
      <w:r w:rsidRPr="008C0160">
        <w:rPr>
          <w:lang w:eastAsia="en-AU" w:bidi="ar-SA"/>
        </w:rPr>
        <w:t>chitin-glucan</w:t>
      </w:r>
      <w:r w:rsidR="004E21B3">
        <w:rPr>
          <w:lang w:eastAsia="en-AU" w:bidi="ar-SA"/>
        </w:rPr>
        <w:t>/day</w:t>
      </w:r>
      <w:r w:rsidR="004E6236">
        <w:rPr>
          <w:lang w:eastAsia="en-AU" w:bidi="ar-SA"/>
        </w:rPr>
        <w:t xml:space="preserve"> </w:t>
      </w:r>
      <w:r w:rsidR="00D10AD8" w:rsidRPr="008C0160">
        <w:rPr>
          <w:lang w:eastAsia="en-AU" w:bidi="ar-SA"/>
        </w:rPr>
        <w:t xml:space="preserve">reported worsening of gastrointestinal </w:t>
      </w:r>
      <w:r w:rsidR="000179A0" w:rsidRPr="008C0160">
        <w:rPr>
          <w:lang w:eastAsia="en-AU" w:bidi="ar-SA"/>
        </w:rPr>
        <w:t>reflux</w:t>
      </w:r>
      <w:r w:rsidR="00D10AD8" w:rsidRPr="008C0160">
        <w:rPr>
          <w:lang w:eastAsia="en-AU" w:bidi="ar-SA"/>
        </w:rPr>
        <w:t xml:space="preserve"> and one subject taking </w:t>
      </w:r>
      <w:r w:rsidRPr="008C0160">
        <w:rPr>
          <w:lang w:eastAsia="en-AU" w:bidi="ar-SA"/>
        </w:rPr>
        <w:t>chitin-glucan</w:t>
      </w:r>
      <w:r w:rsidR="00D10AD8" w:rsidRPr="008C0160">
        <w:rPr>
          <w:lang w:eastAsia="en-AU" w:bidi="ar-SA"/>
        </w:rPr>
        <w:t xml:space="preserve"> and olive extract reported two events of increased frequency of bowel movements and excessive gas. There were no significant treatment-related changes in heart rate, body weight, haematology, clinical chemistry, or systolic or diastolic blood pressure. Administration of 4.5 g</w:t>
      </w:r>
      <w:r w:rsidR="004E21B3">
        <w:rPr>
          <w:lang w:eastAsia="en-AU" w:bidi="ar-SA"/>
        </w:rPr>
        <w:t>/day</w:t>
      </w:r>
      <w:r w:rsidR="004E6236">
        <w:rPr>
          <w:lang w:eastAsia="en-AU" w:bidi="ar-SA"/>
        </w:rPr>
        <w:t xml:space="preserve"> </w:t>
      </w:r>
      <w:r w:rsidRPr="008C0160">
        <w:rPr>
          <w:lang w:eastAsia="en-AU" w:bidi="ar-SA"/>
        </w:rPr>
        <w:t>chitin-glucan</w:t>
      </w:r>
      <w:r w:rsidR="00D10AD8" w:rsidRPr="008C0160">
        <w:rPr>
          <w:lang w:eastAsia="en-AU" w:bidi="ar-SA"/>
        </w:rPr>
        <w:t xml:space="preserve"> significantly reduced oxidised LDL in serum, compared to placebo. The other two interventions had no significant effect on serum oxidised LDL. Supplementation with </w:t>
      </w:r>
      <w:r w:rsidRPr="008C0160">
        <w:rPr>
          <w:lang w:eastAsia="en-AU" w:bidi="ar-SA"/>
        </w:rPr>
        <w:t>chitin-glucan</w:t>
      </w:r>
      <w:r w:rsidR="00D10AD8" w:rsidRPr="008C0160">
        <w:rPr>
          <w:lang w:eastAsia="en-AU" w:bidi="ar-SA"/>
        </w:rPr>
        <w:t xml:space="preserve"> did not significantly affect serum levels of total cholesterol, HDL-C, triglycerides, glucose, or insulin, and also had no effect on urinary F2-isoprostanes. </w:t>
      </w:r>
    </w:p>
    <w:p w14:paraId="110D11FA" w14:textId="77777777" w:rsidR="00737C20" w:rsidRPr="008C0160" w:rsidRDefault="00737C20" w:rsidP="00233F8D">
      <w:pPr>
        <w:rPr>
          <w:lang w:eastAsia="en-AU" w:bidi="ar-SA"/>
        </w:rPr>
      </w:pPr>
    </w:p>
    <w:p w14:paraId="3D77630F" w14:textId="77777777" w:rsidR="00534E78" w:rsidRPr="008C0160" w:rsidRDefault="00737C20" w:rsidP="00233F8D">
      <w:pPr>
        <w:rPr>
          <w:lang w:eastAsia="en-AU" w:bidi="ar-SA"/>
        </w:rPr>
      </w:pPr>
      <w:r w:rsidRPr="008C0160">
        <w:rPr>
          <w:lang w:eastAsia="en-AU" w:bidi="ar-SA"/>
        </w:rPr>
        <w:t>The mild to moderate gastrointestinal disturbances documented in this study are not considered to be adverse. Although this was not intended to be a study of safety or tolerance, it may be concluded from this study that 4.5 g</w:t>
      </w:r>
      <w:r w:rsidR="004E21B3">
        <w:rPr>
          <w:lang w:eastAsia="en-AU" w:bidi="ar-SA"/>
        </w:rPr>
        <w:t>/day</w:t>
      </w:r>
      <w:r w:rsidR="004E6236">
        <w:rPr>
          <w:lang w:eastAsia="en-AU" w:bidi="ar-SA"/>
        </w:rPr>
        <w:t xml:space="preserve"> </w:t>
      </w:r>
      <w:r w:rsidR="00A563F3" w:rsidRPr="008C0160">
        <w:rPr>
          <w:lang w:eastAsia="en-AU" w:bidi="ar-SA"/>
        </w:rPr>
        <w:t>chitin-glucan</w:t>
      </w:r>
      <w:r w:rsidRPr="008C0160">
        <w:rPr>
          <w:lang w:eastAsia="en-AU" w:bidi="ar-SA"/>
        </w:rPr>
        <w:t xml:space="preserve"> is not associated with any adverse effects in healthy human volunteers. </w:t>
      </w:r>
    </w:p>
    <w:p w14:paraId="28201BFB" w14:textId="77777777" w:rsidR="00534E78" w:rsidRPr="008C0160" w:rsidRDefault="00F05977" w:rsidP="0017617B">
      <w:pPr>
        <w:pStyle w:val="Heading4"/>
      </w:pPr>
      <w:r w:rsidRPr="008C0160">
        <w:t>3.</w:t>
      </w:r>
      <w:r w:rsidR="004E6236">
        <w:t>5</w:t>
      </w:r>
      <w:r w:rsidRPr="008C0160">
        <w:t>.2</w:t>
      </w:r>
      <w:r w:rsidRPr="008C0160">
        <w:tab/>
      </w:r>
      <w:r w:rsidR="00534E78" w:rsidRPr="008C0160">
        <w:t xml:space="preserve">90-day single-blind, placebo-controlled randomised clinical study of chitosan </w:t>
      </w:r>
    </w:p>
    <w:p w14:paraId="72DE2461" w14:textId="77777777" w:rsidR="00534E78" w:rsidRPr="008C0160" w:rsidRDefault="00534E78" w:rsidP="00534E78">
      <w:pPr>
        <w:rPr>
          <w:lang w:eastAsia="en-AU" w:bidi="ar-SA"/>
        </w:rPr>
      </w:pPr>
      <w:r w:rsidRPr="008C0160">
        <w:rPr>
          <w:lang w:eastAsia="en-AU" w:bidi="ar-SA"/>
        </w:rPr>
        <w:t xml:space="preserve">This study </w:t>
      </w:r>
      <w:r w:rsidR="007E45EB" w:rsidRPr="008C0160">
        <w:t>(Trivedi et al. 2016)</w:t>
      </w:r>
      <w:r w:rsidR="007E45EB" w:rsidRPr="008C0160">
        <w:rPr>
          <w:i/>
        </w:rPr>
        <w:t xml:space="preserve"> </w:t>
      </w:r>
      <w:r w:rsidRPr="008C0160">
        <w:rPr>
          <w:lang w:eastAsia="en-AU" w:bidi="ar-SA"/>
        </w:rPr>
        <w:t xml:space="preserve">was an efficacy study, investigating the efficacy of chitosan </w:t>
      </w:r>
      <w:r w:rsidR="0011032B" w:rsidRPr="008C0160">
        <w:rPr>
          <w:lang w:eastAsia="en-AU" w:bidi="ar-SA"/>
        </w:rPr>
        <w:t xml:space="preserve">of fungal origin </w:t>
      </w:r>
      <w:r w:rsidRPr="008C0160">
        <w:rPr>
          <w:lang w:eastAsia="en-AU" w:bidi="ar-SA"/>
        </w:rPr>
        <w:t xml:space="preserve">for weight reduction, but also assessed human tolerance of chitosan. </w:t>
      </w:r>
      <w:r w:rsidR="0011032B" w:rsidRPr="008C0160">
        <w:rPr>
          <w:lang w:eastAsia="en-AU" w:bidi="ar-SA"/>
        </w:rPr>
        <w:t xml:space="preserve">96 healthy adults, aged between 18 and 65 years and with BMI between 26 and 35 inclusive, were enrolled in the study. The chitosan used in the study was derived from </w:t>
      </w:r>
      <w:r w:rsidR="0011032B" w:rsidRPr="008C0160">
        <w:rPr>
          <w:i/>
          <w:lang w:eastAsia="en-AU" w:bidi="ar-SA"/>
        </w:rPr>
        <w:t>A</w:t>
      </w:r>
      <w:r w:rsidR="00D150AA" w:rsidRPr="008C0160">
        <w:rPr>
          <w:i/>
          <w:lang w:eastAsia="en-AU" w:bidi="ar-SA"/>
        </w:rPr>
        <w:t>.</w:t>
      </w:r>
      <w:r w:rsidR="0011032B" w:rsidRPr="008C0160">
        <w:rPr>
          <w:i/>
          <w:lang w:eastAsia="en-AU" w:bidi="ar-SA"/>
        </w:rPr>
        <w:t xml:space="preserve"> niger</w:t>
      </w:r>
      <w:r w:rsidR="0011032B" w:rsidRPr="008C0160">
        <w:rPr>
          <w:lang w:eastAsia="en-AU" w:bidi="ar-SA"/>
        </w:rPr>
        <w:t xml:space="preserve">. Chitosan was administered in capsules of 500 mg chitosan/capsule, and placebo was administered in identical capsules. </w:t>
      </w:r>
      <w:r w:rsidR="00EB6ADF" w:rsidRPr="008C0160">
        <w:rPr>
          <w:lang w:eastAsia="en-AU" w:bidi="ar-SA"/>
        </w:rPr>
        <w:t>Of the 96 subjects, 64 were randomised to the chitosan g</w:t>
      </w:r>
      <w:r w:rsidR="00C8584D" w:rsidRPr="008C0160">
        <w:rPr>
          <w:lang w:eastAsia="en-AU" w:bidi="ar-SA"/>
        </w:rPr>
        <w:t>r</w:t>
      </w:r>
      <w:r w:rsidR="00EB6ADF" w:rsidRPr="008C0160">
        <w:rPr>
          <w:lang w:eastAsia="en-AU" w:bidi="ar-SA"/>
        </w:rPr>
        <w:t xml:space="preserve">oup and 32 to the placebo group. </w:t>
      </w:r>
      <w:r w:rsidR="0011032B" w:rsidRPr="008C0160">
        <w:rPr>
          <w:lang w:eastAsia="en-AU" w:bidi="ar-SA"/>
        </w:rPr>
        <w:t xml:space="preserve">Participants were instructed to take one capsule in the morning, </w:t>
      </w:r>
      <w:r w:rsidR="00915821" w:rsidRPr="008C0160">
        <w:rPr>
          <w:lang w:eastAsia="en-AU" w:bidi="ar-SA"/>
        </w:rPr>
        <w:t>two 15 min prior to lunch, and two 15 min prior to dinner. Participants kept a written record of the number of capsules taken and time they were taken. Participants also kept a food diary</w:t>
      </w:r>
      <w:r w:rsidR="00EB6ADF" w:rsidRPr="008C0160">
        <w:rPr>
          <w:lang w:eastAsia="en-AU" w:bidi="ar-SA"/>
        </w:rPr>
        <w:t>, and were instructed to maintain their regular dietary habits</w:t>
      </w:r>
      <w:r w:rsidR="00915821" w:rsidRPr="008C0160">
        <w:rPr>
          <w:lang w:eastAsia="en-AU" w:bidi="ar-SA"/>
        </w:rPr>
        <w:t xml:space="preserve">. Participants visited their study centre prior to commencement of the study, on Day 1 of study, halfway through the study (Day 45 </w:t>
      </w:r>
      <w:r w:rsidR="00915821" w:rsidRPr="008C0160">
        <w:rPr>
          <w:rFonts w:cs="Arial"/>
          <w:lang w:eastAsia="en-AU" w:bidi="ar-SA"/>
        </w:rPr>
        <w:t>±</w:t>
      </w:r>
      <w:r w:rsidR="00915821" w:rsidRPr="008C0160">
        <w:rPr>
          <w:lang w:eastAsia="en-AU" w:bidi="ar-SA"/>
        </w:rPr>
        <w:t xml:space="preserve">2) and at the end of the study (Day 90 </w:t>
      </w:r>
      <w:r w:rsidR="00915821" w:rsidRPr="008C0160">
        <w:rPr>
          <w:rFonts w:cs="Arial"/>
          <w:lang w:eastAsia="en-AU" w:bidi="ar-SA"/>
        </w:rPr>
        <w:t>±</w:t>
      </w:r>
      <w:r w:rsidR="00915821" w:rsidRPr="008C0160">
        <w:rPr>
          <w:lang w:eastAsia="en-AU" w:bidi="ar-SA"/>
        </w:rPr>
        <w:t xml:space="preserve">3). Parameters measured at these visits including anthropometric determinations (upper abdominal circumference, hip circumference, waist circumference, waist to hip ratio), body composition measurements (BMI, body fat, visceral fat, muscle mass), vital signs (radial pulse, blood pressure, respiratory rate, body </w:t>
      </w:r>
      <w:r w:rsidR="00915821" w:rsidRPr="008C0160">
        <w:rPr>
          <w:lang w:eastAsia="en-AU" w:bidi="ar-SA"/>
        </w:rPr>
        <w:lastRenderedPageBreak/>
        <w:t xml:space="preserve">temperature), glycated haemoglobin and selected serum lipid (triglyceride, HDL, LDL, VLDL) and biochemistry (urea, serum creatinine, ALT, AST) data. </w:t>
      </w:r>
    </w:p>
    <w:p w14:paraId="4F267FEB" w14:textId="77777777" w:rsidR="00EB6ADF" w:rsidRPr="008C0160" w:rsidRDefault="00EB6ADF" w:rsidP="00534E78">
      <w:pPr>
        <w:rPr>
          <w:lang w:eastAsia="en-AU" w:bidi="ar-SA"/>
        </w:rPr>
      </w:pPr>
    </w:p>
    <w:p w14:paraId="13063CC1" w14:textId="77777777" w:rsidR="0028636B" w:rsidRPr="008C0160" w:rsidRDefault="00EB6ADF" w:rsidP="0028636B">
      <w:pPr>
        <w:rPr>
          <w:lang w:eastAsia="en-AU" w:bidi="ar-SA"/>
        </w:rPr>
      </w:pPr>
      <w:r w:rsidRPr="008C0160">
        <w:rPr>
          <w:lang w:eastAsia="en-AU" w:bidi="ar-SA"/>
        </w:rPr>
        <w:t xml:space="preserve">Of the original enrolees, 86, 56 in the chitosan group and 30 in the placebo group, completed the study. Participants in the chitosan group experienced a statistically significant group mean weight loss of 3.24 kg relative to their weight at the start of the study, while those in the placebo group showed a minimal group mean weight loss of 130 g, which was not statistically significant. Only 4 participants in the chitosan group did not lose weight. </w:t>
      </w:r>
      <w:r w:rsidR="00F92540" w:rsidRPr="008C0160">
        <w:rPr>
          <w:lang w:eastAsia="en-AU" w:bidi="ar-SA"/>
        </w:rPr>
        <w:t xml:space="preserve">Caloric intake did not change significantly in either group. </w:t>
      </w:r>
      <w:r w:rsidRPr="008C0160">
        <w:rPr>
          <w:lang w:eastAsia="en-AU" w:bidi="ar-SA"/>
        </w:rPr>
        <w:t xml:space="preserve">Mean BMI decreased significantly in the chitosan group. Chitosan </w:t>
      </w:r>
      <w:r w:rsidR="00F92540" w:rsidRPr="008C0160">
        <w:rPr>
          <w:lang w:eastAsia="en-AU" w:bidi="ar-SA"/>
        </w:rPr>
        <w:t>was associated with a significant decrease in glycated haemoglobin in participants who had a high glycaemic index at study start, while not affecting the glycaemic index of those who had normal glycaemic index at study start. There were no treatment-related effects on serum lipids</w:t>
      </w:r>
      <w:r w:rsidR="002E4066" w:rsidRPr="008C0160">
        <w:rPr>
          <w:lang w:eastAsia="en-AU" w:bidi="ar-SA"/>
        </w:rPr>
        <w:t xml:space="preserve"> or other serum biochemistry data. There were no treatment-related adverse events. Chitosan of fungal original was found to be safe and well-tolerated by all study participants</w:t>
      </w:r>
      <w:r w:rsidR="00F92540" w:rsidRPr="008C0160">
        <w:rPr>
          <w:lang w:eastAsia="en-AU" w:bidi="ar-SA"/>
        </w:rPr>
        <w:t xml:space="preserve">. </w:t>
      </w:r>
    </w:p>
    <w:p w14:paraId="71557E8B" w14:textId="77777777" w:rsidR="00813A90" w:rsidRPr="008C0160" w:rsidRDefault="00F05977" w:rsidP="00A33A38">
      <w:pPr>
        <w:pStyle w:val="Heading4"/>
      </w:pPr>
      <w:bookmarkStart w:id="74" w:name="_Toc472668686"/>
      <w:bookmarkStart w:id="75" w:name="_Toc476908576"/>
      <w:r w:rsidRPr="008C0160">
        <w:t>3.5</w:t>
      </w:r>
      <w:r w:rsidR="00A33A38">
        <w:t>.3</w:t>
      </w:r>
      <w:r w:rsidRPr="008C0160">
        <w:tab/>
      </w:r>
      <w:r w:rsidR="00357D2D" w:rsidRPr="008C0160">
        <w:t>Assessments by other regulatory agencies</w:t>
      </w:r>
      <w:bookmarkEnd w:id="74"/>
      <w:bookmarkEnd w:id="75"/>
    </w:p>
    <w:p w14:paraId="77E490CE" w14:textId="77777777" w:rsidR="00512FB7" w:rsidRPr="008C0160" w:rsidRDefault="00CE1F4B" w:rsidP="00043CE7">
      <w:pPr>
        <w:rPr>
          <w:lang w:eastAsia="en-AU" w:bidi="ar-SA"/>
        </w:rPr>
      </w:pPr>
      <w:r w:rsidRPr="008C0160">
        <w:rPr>
          <w:lang w:eastAsia="en-AU" w:bidi="ar-SA"/>
        </w:rPr>
        <w:t xml:space="preserve">The US FDA accepted a GRAS notice for </w:t>
      </w:r>
      <w:r w:rsidR="00A563F3" w:rsidRPr="008C0160">
        <w:rPr>
          <w:lang w:eastAsia="en-AU" w:bidi="ar-SA"/>
        </w:rPr>
        <w:t>chitin-glucan</w:t>
      </w:r>
      <w:r w:rsidRPr="008C0160">
        <w:rPr>
          <w:lang w:eastAsia="en-AU" w:bidi="ar-SA"/>
        </w:rPr>
        <w:t xml:space="preserve"> from </w:t>
      </w:r>
      <w:r w:rsidR="00D150AA" w:rsidRPr="008C0160">
        <w:rPr>
          <w:i/>
          <w:lang w:eastAsia="en-AU" w:bidi="ar-SA"/>
        </w:rPr>
        <w:t xml:space="preserve">A. </w:t>
      </w:r>
      <w:r w:rsidRPr="008C0160">
        <w:rPr>
          <w:i/>
          <w:lang w:eastAsia="en-AU" w:bidi="ar-SA"/>
        </w:rPr>
        <w:t>niger</w:t>
      </w:r>
      <w:r w:rsidRPr="008C0160">
        <w:rPr>
          <w:lang w:eastAsia="en-AU" w:bidi="ar-SA"/>
        </w:rPr>
        <w:t xml:space="preserve"> on January 5, 2012, and designated it GRAS Notice No. GRN 000412. The GRAS notice was filed by KitoZyme S.A. and stated that </w:t>
      </w:r>
      <w:r w:rsidR="00A563F3" w:rsidRPr="008C0160">
        <w:rPr>
          <w:lang w:eastAsia="en-AU" w:bidi="ar-SA"/>
        </w:rPr>
        <w:t>chitin-glucan</w:t>
      </w:r>
      <w:r w:rsidRPr="008C0160">
        <w:rPr>
          <w:lang w:eastAsia="en-AU" w:bidi="ar-SA"/>
        </w:rPr>
        <w:t xml:space="preserve"> is GRAS for use in microbial stabilization, removal of contaminants, and/or clarification in alcoholic beverage production at levels between 10 and 500 g/h</w:t>
      </w:r>
      <w:r w:rsidR="00367E6F">
        <w:rPr>
          <w:lang w:eastAsia="en-AU" w:bidi="ar-SA"/>
        </w:rPr>
        <w:t>L</w:t>
      </w:r>
      <w:r w:rsidRPr="008C0160">
        <w:rPr>
          <w:lang w:eastAsia="en-AU" w:bidi="ar-SA"/>
        </w:rPr>
        <w:t xml:space="preserve"> (0.1 and 5 g/L). </w:t>
      </w:r>
    </w:p>
    <w:p w14:paraId="169427D9" w14:textId="77777777" w:rsidR="009B1A18" w:rsidRPr="008C0160" w:rsidRDefault="009B1A18" w:rsidP="00043CE7">
      <w:pPr>
        <w:rPr>
          <w:lang w:eastAsia="en-AU" w:bidi="ar-SA"/>
        </w:rPr>
      </w:pPr>
    </w:p>
    <w:p w14:paraId="4CC970CB" w14:textId="77777777" w:rsidR="009B1A18" w:rsidRPr="008C0160" w:rsidRDefault="009B1A18" w:rsidP="00043CE7">
      <w:pPr>
        <w:rPr>
          <w:lang w:eastAsia="en-AU" w:bidi="ar-SA"/>
        </w:rPr>
      </w:pPr>
      <w:r w:rsidRPr="008C0160">
        <w:rPr>
          <w:lang w:eastAsia="en-AU" w:bidi="ar-SA"/>
        </w:rPr>
        <w:t xml:space="preserve">A toxicological-hygienic certificate has been issued for </w:t>
      </w:r>
      <w:r w:rsidR="00A563F3" w:rsidRPr="008C0160">
        <w:rPr>
          <w:lang w:eastAsia="en-AU" w:bidi="ar-SA"/>
        </w:rPr>
        <w:t>chitin-glucan</w:t>
      </w:r>
      <w:r w:rsidRPr="008C0160">
        <w:rPr>
          <w:lang w:eastAsia="en-AU" w:bidi="ar-SA"/>
        </w:rPr>
        <w:t xml:space="preserve"> as a food additive by the State Committee for Health and Epidemiological Supervision of the Russian Federation (Kulev and Negrutsa 2015). </w:t>
      </w:r>
    </w:p>
    <w:p w14:paraId="66F90817" w14:textId="77777777" w:rsidR="00242FAA" w:rsidRPr="008C0160" w:rsidRDefault="00242FAA" w:rsidP="00043CE7">
      <w:pPr>
        <w:rPr>
          <w:lang w:eastAsia="en-AU" w:bidi="ar-SA"/>
        </w:rPr>
      </w:pPr>
    </w:p>
    <w:p w14:paraId="7AB84D38" w14:textId="77777777" w:rsidR="00242FAA" w:rsidRPr="008C0160" w:rsidRDefault="00461D76" w:rsidP="00043CE7">
      <w:pPr>
        <w:rPr>
          <w:lang w:eastAsia="en-AU" w:bidi="ar-SA"/>
        </w:rPr>
      </w:pPr>
      <w:r w:rsidRPr="008C0160">
        <w:rPr>
          <w:lang w:eastAsia="en-AU" w:bidi="ar-SA"/>
        </w:rPr>
        <w:t>The EFSA Panel on Dietetic Products, Nutrition and Allergies published a scientific opinion on the safety of</w:t>
      </w:r>
      <w:r w:rsidR="009F15A6" w:rsidRPr="008C0160">
        <w:rPr>
          <w:lang w:eastAsia="en-AU" w:bidi="ar-SA"/>
        </w:rPr>
        <w:t xml:space="preserve"> “KiOnutrime-CG</w:t>
      </w:r>
      <w:r w:rsidR="009F15A6" w:rsidRPr="008C0160">
        <w:rPr>
          <w:vertAlign w:val="superscript"/>
          <w:lang w:eastAsia="en-AU" w:bidi="ar-SA"/>
        </w:rPr>
        <w:t>TM</w:t>
      </w:r>
      <w:r w:rsidR="009F15A6" w:rsidRPr="008C0160">
        <w:rPr>
          <w:lang w:eastAsia="en-AU" w:bidi="ar-SA"/>
        </w:rPr>
        <w:t xml:space="preserve">”, a product containing more than 90% </w:t>
      </w:r>
      <w:r w:rsidR="00A563F3" w:rsidRPr="008C0160">
        <w:rPr>
          <w:lang w:eastAsia="en-AU" w:bidi="ar-SA"/>
        </w:rPr>
        <w:t>chitin-glucan</w:t>
      </w:r>
      <w:r w:rsidR="009F15A6" w:rsidRPr="008C0160">
        <w:rPr>
          <w:lang w:eastAsia="en-AU" w:bidi="ar-SA"/>
        </w:rPr>
        <w:t>,</w:t>
      </w:r>
      <w:r w:rsidRPr="008C0160">
        <w:rPr>
          <w:lang w:eastAsia="en-AU" w:bidi="ar-SA"/>
        </w:rPr>
        <w:t xml:space="preserve"> in 2010. </w:t>
      </w:r>
      <w:r w:rsidR="009F15A6" w:rsidRPr="008C0160">
        <w:rPr>
          <w:lang w:eastAsia="en-AU" w:bidi="ar-SA"/>
        </w:rPr>
        <w:t xml:space="preserve">The Panel concluded that the product is safe as a food ingredient at a </w:t>
      </w:r>
      <w:r w:rsidR="00CB27EB" w:rsidRPr="008C0160">
        <w:rPr>
          <w:lang w:eastAsia="en-AU" w:bidi="ar-SA"/>
        </w:rPr>
        <w:t>proposed</w:t>
      </w:r>
      <w:r w:rsidR="009F15A6" w:rsidRPr="008C0160">
        <w:rPr>
          <w:lang w:eastAsia="en-AU" w:bidi="ar-SA"/>
        </w:rPr>
        <w:t xml:space="preserve"> intake of 2 to 5 g/day (EFSA 2010). </w:t>
      </w:r>
    </w:p>
    <w:p w14:paraId="0B7748A5" w14:textId="77777777" w:rsidR="00034724" w:rsidRPr="008C0160" w:rsidRDefault="00F05977" w:rsidP="0017617B">
      <w:pPr>
        <w:pStyle w:val="Heading3"/>
      </w:pPr>
      <w:bookmarkStart w:id="76" w:name="_Toc472668687"/>
      <w:bookmarkStart w:id="77" w:name="_Toc476908577"/>
      <w:bookmarkStart w:id="78" w:name="_Toc478375798"/>
      <w:r w:rsidRPr="008C0160">
        <w:t>3.6</w:t>
      </w:r>
      <w:r w:rsidRPr="008C0160">
        <w:tab/>
      </w:r>
      <w:r w:rsidR="002F010C" w:rsidRPr="008C0160">
        <w:t>Hazard assessment c</w:t>
      </w:r>
      <w:r w:rsidR="00034724" w:rsidRPr="008C0160">
        <w:t>onclusion</w:t>
      </w:r>
      <w:bookmarkEnd w:id="76"/>
      <w:bookmarkEnd w:id="77"/>
      <w:r w:rsidR="00444967">
        <w:t>s</w:t>
      </w:r>
      <w:bookmarkEnd w:id="78"/>
    </w:p>
    <w:p w14:paraId="7A2A999C" w14:textId="77777777" w:rsidR="00AD278A" w:rsidRPr="008C0160" w:rsidRDefault="00A563F3" w:rsidP="00AD278A">
      <w:pPr>
        <w:rPr>
          <w:lang w:bidi="ar-SA"/>
        </w:rPr>
      </w:pPr>
      <w:r w:rsidRPr="008C0160">
        <w:rPr>
          <w:lang w:bidi="ar-SA"/>
        </w:rPr>
        <w:t>Chitin-glucan</w:t>
      </w:r>
      <w:r w:rsidR="00EC37A7" w:rsidRPr="008C0160">
        <w:rPr>
          <w:lang w:bidi="ar-SA"/>
        </w:rPr>
        <w:t xml:space="preserve"> is a permitted processing aid in the EU and is for sale in a number of </w:t>
      </w:r>
      <w:r w:rsidR="00C8584D" w:rsidRPr="008C0160">
        <w:rPr>
          <w:lang w:bidi="ar-SA"/>
        </w:rPr>
        <w:t>countries</w:t>
      </w:r>
      <w:r w:rsidR="00EC37A7" w:rsidRPr="008C0160">
        <w:rPr>
          <w:lang w:bidi="ar-SA"/>
        </w:rPr>
        <w:t xml:space="preserve"> with which the EU has wine agreements. </w:t>
      </w:r>
    </w:p>
    <w:p w14:paraId="4F53F44D" w14:textId="77777777" w:rsidR="0011682B" w:rsidRPr="008C0160" w:rsidRDefault="0011682B" w:rsidP="00AD278A">
      <w:pPr>
        <w:rPr>
          <w:lang w:bidi="ar-SA"/>
        </w:rPr>
      </w:pPr>
    </w:p>
    <w:p w14:paraId="62D006E9" w14:textId="77777777" w:rsidR="0011682B" w:rsidRPr="008C0160" w:rsidRDefault="00A563F3" w:rsidP="00AD278A">
      <w:pPr>
        <w:rPr>
          <w:lang w:bidi="ar-SA"/>
        </w:rPr>
      </w:pPr>
      <w:r w:rsidRPr="008C0160">
        <w:rPr>
          <w:lang w:bidi="ar-SA"/>
        </w:rPr>
        <w:t>Chitin-glucan</w:t>
      </w:r>
      <w:r w:rsidR="0011682B" w:rsidRPr="008C0160">
        <w:rPr>
          <w:lang w:bidi="ar-SA"/>
        </w:rPr>
        <w:t xml:space="preserve"> is a natural copolymer, composed of the polymers chitin and 1,3-</w:t>
      </w:r>
      <w:r w:rsidR="00367E6F">
        <w:rPr>
          <w:rFonts w:cs="Arial"/>
          <w:lang w:bidi="ar-SA"/>
        </w:rPr>
        <w:t>b</w:t>
      </w:r>
      <w:r w:rsidR="00D83304" w:rsidRPr="008C0160">
        <w:rPr>
          <w:rFonts w:cs="Arial"/>
          <w:lang w:bidi="ar-SA"/>
        </w:rPr>
        <w:t>eta</w:t>
      </w:r>
      <w:r w:rsidR="0011682B" w:rsidRPr="008C0160">
        <w:rPr>
          <w:lang w:bidi="ar-SA"/>
        </w:rPr>
        <w:t xml:space="preserve">-glucan. It is not known whether </w:t>
      </w:r>
      <w:r w:rsidRPr="008C0160">
        <w:rPr>
          <w:lang w:bidi="ar-SA"/>
        </w:rPr>
        <w:t>chitin-glucan</w:t>
      </w:r>
      <w:r w:rsidR="0011682B" w:rsidRPr="008C0160">
        <w:rPr>
          <w:lang w:bidi="ar-SA"/>
        </w:rPr>
        <w:t xml:space="preserve"> can be broken down in the human gastrointestinal tract. If some breakdown is possible, the potential products could include chitin and B-glucan. Chitin could be </w:t>
      </w:r>
      <w:r w:rsidR="00573006" w:rsidRPr="008C0160">
        <w:rPr>
          <w:lang w:bidi="ar-SA"/>
        </w:rPr>
        <w:t>deacetylated in the acidic environments of wine or the human stomach to chitosan, and chitosan could be hydrolysed in the gastrointestinal tract to COS</w:t>
      </w:r>
      <w:r w:rsidR="00EC37A7" w:rsidRPr="008C0160">
        <w:rPr>
          <w:lang w:bidi="ar-SA"/>
        </w:rPr>
        <w:t xml:space="preserve">. While systemic absorption of polymers and large molecules is negligible, COS of relatively low molecular weight could be absorbed. </w:t>
      </w:r>
      <w:r w:rsidR="00573006" w:rsidRPr="008C0160">
        <w:rPr>
          <w:lang w:bidi="ar-SA"/>
        </w:rPr>
        <w:t xml:space="preserve">Breakdown of </w:t>
      </w:r>
      <w:r w:rsidR="0073275F">
        <w:rPr>
          <w:rFonts w:cs="Arial"/>
          <w:lang w:bidi="ar-SA"/>
        </w:rPr>
        <w:t>b</w:t>
      </w:r>
      <w:r w:rsidR="00FF4A0B" w:rsidRPr="008C0160">
        <w:rPr>
          <w:rFonts w:cs="Arial"/>
          <w:lang w:bidi="ar-SA"/>
        </w:rPr>
        <w:t xml:space="preserve">eta-glucan </w:t>
      </w:r>
      <w:r w:rsidR="00573006" w:rsidRPr="008C0160">
        <w:rPr>
          <w:lang w:bidi="ar-SA"/>
        </w:rPr>
        <w:t xml:space="preserve">would produce glucose. </w:t>
      </w:r>
      <w:r w:rsidR="00EC37A7" w:rsidRPr="008C0160">
        <w:rPr>
          <w:lang w:bidi="ar-SA"/>
        </w:rPr>
        <w:t xml:space="preserve">Although the estimated intake of </w:t>
      </w:r>
      <w:r w:rsidRPr="008C0160">
        <w:rPr>
          <w:lang w:bidi="ar-SA"/>
        </w:rPr>
        <w:t>chitin-glucan</w:t>
      </w:r>
      <w:r w:rsidR="00EC37A7" w:rsidRPr="008C0160">
        <w:rPr>
          <w:lang w:bidi="ar-SA"/>
        </w:rPr>
        <w:t xml:space="preserve"> through consumption of wine is negligible, evidence concerning the safety of the potential breakdown products, other than glucose, has been included in this assessment. Assessment of chitosan is limited to papers more recent than FSANZ’s assessment of chitosan in 2013. </w:t>
      </w:r>
    </w:p>
    <w:p w14:paraId="61A609C9" w14:textId="77777777" w:rsidR="00EC37A7" w:rsidRPr="008C0160" w:rsidRDefault="00EC37A7" w:rsidP="00AD278A">
      <w:pPr>
        <w:rPr>
          <w:lang w:bidi="ar-SA"/>
        </w:rPr>
      </w:pPr>
    </w:p>
    <w:p w14:paraId="39D24880" w14:textId="77777777" w:rsidR="00EC37A7" w:rsidRPr="008C0160" w:rsidRDefault="00560989" w:rsidP="00AD278A">
      <w:pPr>
        <w:rPr>
          <w:lang w:bidi="ar-SA"/>
        </w:rPr>
      </w:pPr>
      <w:r w:rsidRPr="008C0160">
        <w:rPr>
          <w:lang w:bidi="ar-SA"/>
        </w:rPr>
        <w:t xml:space="preserve">Results of genotoxicity assays of COS, including reverse bacterial mutation assay, mouse micronucleus test, mouse sperm abnormality test, are negative. </w:t>
      </w:r>
      <w:r w:rsidR="00F84CBC" w:rsidRPr="008C0160">
        <w:rPr>
          <w:lang w:bidi="ar-SA"/>
        </w:rPr>
        <w:t xml:space="preserve">Lack of genotoxicity has also been demonstrated for 6-O-carboxymethylchitin-glucan and </w:t>
      </w:r>
      <w:r w:rsidR="0073275F">
        <w:rPr>
          <w:lang w:bidi="ar-SA"/>
        </w:rPr>
        <w:t>b</w:t>
      </w:r>
      <w:r w:rsidR="00D83304" w:rsidRPr="008C0160">
        <w:rPr>
          <w:lang w:bidi="ar-SA"/>
        </w:rPr>
        <w:t>eta</w:t>
      </w:r>
      <w:r w:rsidR="00F84CBC" w:rsidRPr="008C0160">
        <w:rPr>
          <w:lang w:bidi="ar-SA"/>
        </w:rPr>
        <w:t xml:space="preserve">-glucan. </w:t>
      </w:r>
    </w:p>
    <w:p w14:paraId="5334203B" w14:textId="77777777" w:rsidR="00F84CBC" w:rsidRPr="008C0160" w:rsidRDefault="00F84CBC" w:rsidP="00AD278A">
      <w:pPr>
        <w:rPr>
          <w:lang w:bidi="ar-SA"/>
        </w:rPr>
      </w:pPr>
    </w:p>
    <w:p w14:paraId="11C54716" w14:textId="77777777" w:rsidR="00E519D3" w:rsidRPr="008C0160" w:rsidRDefault="00F84CBC" w:rsidP="00AD278A">
      <w:pPr>
        <w:rPr>
          <w:lang w:bidi="ar-SA"/>
        </w:rPr>
      </w:pPr>
      <w:r w:rsidRPr="008C0160">
        <w:rPr>
          <w:lang w:bidi="ar-SA"/>
        </w:rPr>
        <w:t>No adverse effects of chitin-glucan</w:t>
      </w:r>
      <w:r w:rsidR="00E519D3" w:rsidRPr="008C0160">
        <w:rPr>
          <w:lang w:bidi="ar-SA"/>
        </w:rPr>
        <w:t xml:space="preserve">, </w:t>
      </w:r>
      <w:r w:rsidRPr="008C0160">
        <w:rPr>
          <w:lang w:bidi="ar-SA"/>
        </w:rPr>
        <w:t>chitin</w:t>
      </w:r>
      <w:r w:rsidR="00E519D3" w:rsidRPr="008C0160">
        <w:rPr>
          <w:lang w:bidi="ar-SA"/>
        </w:rPr>
        <w:t xml:space="preserve"> or </w:t>
      </w:r>
      <w:r w:rsidR="0073275F">
        <w:rPr>
          <w:rFonts w:cs="Arial"/>
          <w:lang w:bidi="ar-SA"/>
        </w:rPr>
        <w:t>b</w:t>
      </w:r>
      <w:r w:rsidR="00FF4A0B" w:rsidRPr="008C0160">
        <w:rPr>
          <w:rFonts w:cs="Arial"/>
          <w:lang w:bidi="ar-SA"/>
        </w:rPr>
        <w:t xml:space="preserve">eta-glucan </w:t>
      </w:r>
      <w:r w:rsidRPr="008C0160">
        <w:rPr>
          <w:lang w:bidi="ar-SA"/>
        </w:rPr>
        <w:t xml:space="preserve">have been demonstrated in </w:t>
      </w:r>
      <w:r w:rsidRPr="008C0160">
        <w:rPr>
          <w:lang w:bidi="ar-SA"/>
        </w:rPr>
        <w:lastRenderedPageBreak/>
        <w:t xml:space="preserve">subchronic studies in experimental animals at the highest doses tested. In a 28-day dietary study of chitin-glucan in rats, this was equivalent to 8 g/kg bw/d, while in a </w:t>
      </w:r>
      <w:r w:rsidR="0017617B" w:rsidRPr="008C0160">
        <w:rPr>
          <w:lang w:bidi="ar-SA"/>
        </w:rPr>
        <w:t>13-week</w:t>
      </w:r>
      <w:r w:rsidR="00E519D3" w:rsidRPr="008C0160">
        <w:rPr>
          <w:lang w:bidi="ar-SA"/>
        </w:rPr>
        <w:t xml:space="preserve"> dietary study the highest doses were</w:t>
      </w:r>
      <w:r w:rsidRPr="008C0160">
        <w:rPr>
          <w:lang w:bidi="ar-SA"/>
        </w:rPr>
        <w:t xml:space="preserve"> 6.6 g/kg bw</w:t>
      </w:r>
      <w:r w:rsidR="004E21B3">
        <w:rPr>
          <w:lang w:bidi="ar-SA"/>
        </w:rPr>
        <w:t>/day</w:t>
      </w:r>
      <w:r w:rsidR="0073275F">
        <w:rPr>
          <w:lang w:bidi="ar-SA"/>
        </w:rPr>
        <w:t xml:space="preserve"> </w:t>
      </w:r>
      <w:r w:rsidRPr="008C0160">
        <w:rPr>
          <w:lang w:bidi="ar-SA"/>
        </w:rPr>
        <w:t>in male rats</w:t>
      </w:r>
      <w:r w:rsidR="00E519D3" w:rsidRPr="008C0160">
        <w:rPr>
          <w:lang w:bidi="ar-SA"/>
        </w:rPr>
        <w:t xml:space="preserve"> and</w:t>
      </w:r>
      <w:r w:rsidRPr="008C0160">
        <w:rPr>
          <w:lang w:bidi="ar-SA"/>
        </w:rPr>
        <w:t xml:space="preserve"> 7.0 g/kg bw</w:t>
      </w:r>
      <w:r w:rsidR="004E21B3">
        <w:rPr>
          <w:lang w:bidi="ar-SA"/>
        </w:rPr>
        <w:t>/day</w:t>
      </w:r>
      <w:r w:rsidR="0073275F">
        <w:rPr>
          <w:lang w:bidi="ar-SA"/>
        </w:rPr>
        <w:t xml:space="preserve"> </w:t>
      </w:r>
      <w:r w:rsidRPr="008C0160">
        <w:rPr>
          <w:lang w:bidi="ar-SA"/>
        </w:rPr>
        <w:t>in female rats</w:t>
      </w:r>
      <w:r w:rsidR="00E519D3" w:rsidRPr="008C0160">
        <w:rPr>
          <w:lang w:bidi="ar-SA"/>
        </w:rPr>
        <w:t>. In Syrian golden hamsters, a 12-week dietary study identified the highest dose</w:t>
      </w:r>
      <w:r w:rsidRPr="008C0160">
        <w:rPr>
          <w:lang w:bidi="ar-SA"/>
        </w:rPr>
        <w:t xml:space="preserve"> 42.8 mg/kg bw/d</w:t>
      </w:r>
      <w:r w:rsidR="00E519D3" w:rsidRPr="008C0160">
        <w:rPr>
          <w:lang w:bidi="ar-SA"/>
        </w:rPr>
        <w:t xml:space="preserve">, as the NOAEL. Chitin was nontoxic in rats at dietary concentrations up to 5% for 13 weeks. </w:t>
      </w:r>
      <w:r w:rsidR="00685523" w:rsidRPr="008C0160">
        <w:rPr>
          <w:lang w:bidi="ar-SA"/>
        </w:rPr>
        <w:t xml:space="preserve">The NOAEL for </w:t>
      </w:r>
      <w:r w:rsidR="00875A99">
        <w:rPr>
          <w:rFonts w:cs="Arial"/>
          <w:lang w:bidi="ar-SA"/>
        </w:rPr>
        <w:t>b</w:t>
      </w:r>
      <w:r w:rsidR="00FF4A0B" w:rsidRPr="008C0160">
        <w:rPr>
          <w:rFonts w:cs="Arial"/>
          <w:lang w:bidi="ar-SA"/>
        </w:rPr>
        <w:t xml:space="preserve">eta-glucan </w:t>
      </w:r>
      <w:r w:rsidR="00685523" w:rsidRPr="008C0160">
        <w:rPr>
          <w:lang w:bidi="ar-SA"/>
        </w:rPr>
        <w:t>in a 28-day dietary study in rats was equivalent to 5.8 to 5.9 g/kg bw/d, while in a 91-day oral gavage study in rats it was 100 mg/kg bw</w:t>
      </w:r>
      <w:r w:rsidR="003515FC">
        <w:rPr>
          <w:lang w:bidi="ar-SA"/>
        </w:rPr>
        <w:t>/day, the highest dose tested.</w:t>
      </w:r>
    </w:p>
    <w:p w14:paraId="5844CDB0" w14:textId="77777777" w:rsidR="00E519D3" w:rsidRPr="008C0160" w:rsidRDefault="00E519D3" w:rsidP="00AD278A">
      <w:pPr>
        <w:rPr>
          <w:lang w:bidi="ar-SA"/>
        </w:rPr>
      </w:pPr>
    </w:p>
    <w:p w14:paraId="6293C9B4" w14:textId="77777777" w:rsidR="00F84CBC" w:rsidRPr="008C0160" w:rsidRDefault="00E519D3" w:rsidP="00AD278A">
      <w:pPr>
        <w:rPr>
          <w:lang w:bidi="ar-SA"/>
        </w:rPr>
      </w:pPr>
      <w:r w:rsidRPr="008C0160">
        <w:rPr>
          <w:lang w:bidi="ar-SA"/>
        </w:rPr>
        <w:t xml:space="preserve">Adverse effects of COS in a subchronic dietary study in rats were limited to dermal inflammation of the forelimbs at 1% w/w COS in the diet. The NOAEL was identified as the next </w:t>
      </w:r>
      <w:r w:rsidR="005B0830">
        <w:rPr>
          <w:lang w:bidi="ar-SA"/>
        </w:rPr>
        <w:t>l</w:t>
      </w:r>
      <w:r w:rsidR="003515FC">
        <w:rPr>
          <w:lang w:bidi="ar-SA"/>
        </w:rPr>
        <w:t>ower</w:t>
      </w:r>
      <w:r w:rsidR="005B0830" w:rsidRPr="008C0160">
        <w:rPr>
          <w:lang w:bidi="ar-SA"/>
        </w:rPr>
        <w:t xml:space="preserve"> </w:t>
      </w:r>
      <w:r w:rsidR="003515FC">
        <w:rPr>
          <w:lang w:bidi="ar-SA"/>
        </w:rPr>
        <w:t>concentration</w:t>
      </w:r>
      <w:r w:rsidRPr="008C0160">
        <w:rPr>
          <w:lang w:bidi="ar-SA"/>
        </w:rPr>
        <w:t>, 0.2% w/w, equivalent to 124 mg/kg bw</w:t>
      </w:r>
      <w:r w:rsidR="004E21B3">
        <w:rPr>
          <w:lang w:bidi="ar-SA"/>
        </w:rPr>
        <w:t>/day</w:t>
      </w:r>
      <w:r w:rsidR="0073275F">
        <w:rPr>
          <w:lang w:bidi="ar-SA"/>
        </w:rPr>
        <w:t xml:space="preserve"> </w:t>
      </w:r>
      <w:r w:rsidRPr="008C0160">
        <w:rPr>
          <w:lang w:bidi="ar-SA"/>
        </w:rPr>
        <w:t>in males and 142 mg/kg bw</w:t>
      </w:r>
      <w:r w:rsidR="004E21B3">
        <w:rPr>
          <w:lang w:bidi="ar-SA"/>
        </w:rPr>
        <w:t>/day</w:t>
      </w:r>
      <w:r w:rsidR="0073275F">
        <w:rPr>
          <w:lang w:bidi="ar-SA"/>
        </w:rPr>
        <w:t xml:space="preserve"> </w:t>
      </w:r>
      <w:r w:rsidRPr="008C0160">
        <w:rPr>
          <w:lang w:bidi="ar-SA"/>
        </w:rPr>
        <w:t xml:space="preserve">in females. </w:t>
      </w:r>
      <w:r w:rsidR="00AB1AD9" w:rsidRPr="00AB6B8B">
        <w:rPr>
          <w:lang w:bidi="ar-SA"/>
        </w:rPr>
        <w:t>The locali</w:t>
      </w:r>
      <w:r w:rsidR="00AB6B8B">
        <w:rPr>
          <w:lang w:bidi="ar-SA"/>
        </w:rPr>
        <w:t>s</w:t>
      </w:r>
      <w:r w:rsidR="00AB1AD9" w:rsidRPr="00AB6B8B">
        <w:rPr>
          <w:lang w:bidi="ar-SA"/>
        </w:rPr>
        <w:t>ed</w:t>
      </w:r>
      <w:r w:rsidR="00AB1AD9" w:rsidRPr="008C0160">
        <w:rPr>
          <w:lang w:bidi="ar-SA"/>
        </w:rPr>
        <w:t xml:space="preserve"> nature of the dermal lesions observed at the highest dose suggest that they </w:t>
      </w:r>
      <w:r w:rsidR="003515FC">
        <w:rPr>
          <w:lang w:bidi="ar-SA"/>
        </w:rPr>
        <w:t xml:space="preserve">are </w:t>
      </w:r>
      <w:r w:rsidR="00AB1AD9" w:rsidRPr="008C0160">
        <w:rPr>
          <w:lang w:bidi="ar-SA"/>
        </w:rPr>
        <w:t xml:space="preserve">due to grooming of the coat, and therefore not relevant to human beings. </w:t>
      </w:r>
      <w:r w:rsidRPr="008C0160">
        <w:rPr>
          <w:rFonts w:cs="Arial"/>
          <w:lang w:bidi="ar-SA"/>
        </w:rPr>
        <w:t xml:space="preserve"> </w:t>
      </w:r>
      <w:r w:rsidRPr="008C0160">
        <w:rPr>
          <w:lang w:bidi="ar-SA"/>
        </w:rPr>
        <w:t xml:space="preserve"> </w:t>
      </w:r>
    </w:p>
    <w:p w14:paraId="5AADE664" w14:textId="77777777" w:rsidR="00685523" w:rsidRPr="008C0160" w:rsidRDefault="00685523" w:rsidP="00AD278A">
      <w:pPr>
        <w:rPr>
          <w:lang w:bidi="ar-SA"/>
        </w:rPr>
      </w:pPr>
    </w:p>
    <w:p w14:paraId="5C6C68A9" w14:textId="77777777" w:rsidR="00685523" w:rsidRPr="008C0160" w:rsidRDefault="00685523" w:rsidP="00AD278A">
      <w:pPr>
        <w:rPr>
          <w:lang w:bidi="ar-SA"/>
        </w:rPr>
      </w:pPr>
      <w:r w:rsidRPr="008C0160">
        <w:rPr>
          <w:lang w:bidi="ar-SA"/>
        </w:rPr>
        <w:t xml:space="preserve">There were no adverse effects observed or reported in a 6-week </w:t>
      </w:r>
      <w:r w:rsidRPr="00AB6B8B">
        <w:rPr>
          <w:lang w:bidi="ar-SA"/>
        </w:rPr>
        <w:t>randomi</w:t>
      </w:r>
      <w:r w:rsidR="00AB6B8B">
        <w:rPr>
          <w:lang w:bidi="ar-SA"/>
        </w:rPr>
        <w:t>s</w:t>
      </w:r>
      <w:r w:rsidRPr="00AB6B8B">
        <w:rPr>
          <w:lang w:bidi="ar-SA"/>
        </w:rPr>
        <w:t>ed</w:t>
      </w:r>
      <w:r w:rsidRPr="008C0160">
        <w:rPr>
          <w:lang w:bidi="ar-SA"/>
        </w:rPr>
        <w:t xml:space="preserve"> controlled trial of chitin</w:t>
      </w:r>
      <w:r w:rsidR="00A563F3" w:rsidRPr="008C0160">
        <w:rPr>
          <w:lang w:bidi="ar-SA"/>
        </w:rPr>
        <w:t>-</w:t>
      </w:r>
      <w:r w:rsidRPr="008C0160">
        <w:rPr>
          <w:lang w:bidi="ar-SA"/>
        </w:rPr>
        <w:t>glucan at up to 4.5 g</w:t>
      </w:r>
      <w:r w:rsidRPr="008C0160" w:rsidDel="004E21B3">
        <w:rPr>
          <w:lang w:bidi="ar-SA"/>
        </w:rPr>
        <w:t>/</w:t>
      </w:r>
      <w:r w:rsidR="004E21B3">
        <w:rPr>
          <w:lang w:bidi="ar-SA"/>
        </w:rPr>
        <w:t>day</w:t>
      </w:r>
      <w:r w:rsidR="0073275F">
        <w:rPr>
          <w:lang w:bidi="ar-SA"/>
        </w:rPr>
        <w:t xml:space="preserve"> </w:t>
      </w:r>
      <w:r w:rsidRPr="008C0160">
        <w:rPr>
          <w:lang w:bidi="ar-SA"/>
        </w:rPr>
        <w:t>in healthy human volunteers. Similarly, in a 90-day trial of 2.5 g</w:t>
      </w:r>
      <w:r w:rsidRPr="008C0160" w:rsidDel="004E21B3">
        <w:rPr>
          <w:lang w:bidi="ar-SA"/>
        </w:rPr>
        <w:t>/</w:t>
      </w:r>
      <w:r w:rsidR="004E21B3">
        <w:rPr>
          <w:lang w:bidi="ar-SA"/>
        </w:rPr>
        <w:t>day</w:t>
      </w:r>
      <w:r w:rsidR="0073275F">
        <w:rPr>
          <w:lang w:bidi="ar-SA"/>
        </w:rPr>
        <w:t xml:space="preserve"> </w:t>
      </w:r>
      <w:r w:rsidRPr="008C0160">
        <w:rPr>
          <w:lang w:bidi="ar-SA"/>
        </w:rPr>
        <w:t xml:space="preserve">chitosan, no adverse effects were observed or reported in healthy human volunteers. </w:t>
      </w:r>
    </w:p>
    <w:p w14:paraId="45F80F89" w14:textId="77777777" w:rsidR="00685523" w:rsidRPr="008C0160" w:rsidRDefault="00685523" w:rsidP="00AD278A">
      <w:pPr>
        <w:rPr>
          <w:lang w:bidi="ar-SA"/>
        </w:rPr>
      </w:pPr>
    </w:p>
    <w:p w14:paraId="5878C313" w14:textId="77777777" w:rsidR="00C8584D" w:rsidRPr="008C0160" w:rsidRDefault="00C8584D" w:rsidP="00C8584D">
      <w:pPr>
        <w:rPr>
          <w:lang w:bidi="ar-SA"/>
        </w:rPr>
      </w:pPr>
      <w:r w:rsidRPr="008C0160">
        <w:rPr>
          <w:lang w:bidi="ar-SA"/>
        </w:rPr>
        <w:t xml:space="preserve">Based on the reviewed toxicological </w:t>
      </w:r>
      <w:r w:rsidR="00F465E2">
        <w:rPr>
          <w:lang w:bidi="ar-SA"/>
        </w:rPr>
        <w:t xml:space="preserve">and human </w:t>
      </w:r>
      <w:r w:rsidRPr="008C0160">
        <w:rPr>
          <w:lang w:bidi="ar-SA"/>
        </w:rPr>
        <w:t xml:space="preserve">data, it is concluded that in the absence of any identifiable hazard, an ADI ‘not specified’ is appropriate for </w:t>
      </w:r>
      <w:r w:rsidR="00A563F3" w:rsidRPr="008C0160">
        <w:rPr>
          <w:lang w:bidi="ar-SA"/>
        </w:rPr>
        <w:t>chitin-glucan</w:t>
      </w:r>
      <w:r w:rsidR="00F07C4B">
        <w:rPr>
          <w:lang w:bidi="ar-SA"/>
        </w:rPr>
        <w:t>.</w:t>
      </w:r>
    </w:p>
    <w:p w14:paraId="2BE0949C" w14:textId="77777777" w:rsidR="00477DA5" w:rsidRDefault="00477DA5" w:rsidP="000F5720">
      <w:pPr>
        <w:rPr>
          <w:lang w:bidi="ar-SA"/>
        </w:rPr>
      </w:pPr>
    </w:p>
    <w:p w14:paraId="61B1DCF1" w14:textId="77777777" w:rsidR="00477DA5" w:rsidRDefault="00477DA5" w:rsidP="00507D3C">
      <w:pPr>
        <w:pStyle w:val="Heading2"/>
      </w:pPr>
      <w:bookmarkStart w:id="79" w:name="_Toc476908578"/>
      <w:bookmarkStart w:id="80" w:name="_Toc478375799"/>
      <w:r>
        <w:t>4</w:t>
      </w:r>
      <w:r w:rsidRPr="008C0160">
        <w:tab/>
      </w:r>
      <w:r>
        <w:t>Dietary exposure</w:t>
      </w:r>
      <w:r w:rsidRPr="008C0160">
        <w:t xml:space="preserve"> assessment</w:t>
      </w:r>
      <w:bookmarkEnd w:id="79"/>
      <w:bookmarkEnd w:id="80"/>
      <w:r w:rsidRPr="008C0160">
        <w:t xml:space="preserve"> </w:t>
      </w:r>
    </w:p>
    <w:p w14:paraId="7F75F332" w14:textId="77777777" w:rsidR="00477DA5" w:rsidRDefault="002D725D" w:rsidP="000F5720">
      <w:pPr>
        <w:rPr>
          <w:lang w:bidi="ar-SA"/>
        </w:rPr>
      </w:pPr>
      <w:r>
        <w:rPr>
          <w:lang w:bidi="ar-SA"/>
        </w:rPr>
        <w:t xml:space="preserve">A </w:t>
      </w:r>
      <w:r w:rsidR="00477DA5" w:rsidRPr="00477DA5">
        <w:rPr>
          <w:lang w:bidi="ar-SA"/>
        </w:rPr>
        <w:t xml:space="preserve">dietary exposure assessment was </w:t>
      </w:r>
      <w:r>
        <w:rPr>
          <w:lang w:bidi="ar-SA"/>
        </w:rPr>
        <w:t xml:space="preserve">not </w:t>
      </w:r>
      <w:r w:rsidR="00477DA5" w:rsidRPr="00477DA5">
        <w:rPr>
          <w:lang w:bidi="ar-SA"/>
        </w:rPr>
        <w:t xml:space="preserve">conducted because </w:t>
      </w:r>
      <w:r w:rsidR="00E75F6D">
        <w:rPr>
          <w:lang w:bidi="ar-SA"/>
        </w:rPr>
        <w:t xml:space="preserve">residual levels </w:t>
      </w:r>
      <w:r w:rsidR="003700A4">
        <w:rPr>
          <w:lang w:bidi="ar-SA"/>
        </w:rPr>
        <w:t xml:space="preserve">of chitin-glucan and its degradation products </w:t>
      </w:r>
      <w:r w:rsidR="00477DA5">
        <w:rPr>
          <w:lang w:bidi="ar-SA"/>
        </w:rPr>
        <w:t>in wine</w:t>
      </w:r>
      <w:r w:rsidR="00477DA5" w:rsidRPr="00477DA5">
        <w:rPr>
          <w:lang w:bidi="ar-SA"/>
        </w:rPr>
        <w:t xml:space="preserve"> </w:t>
      </w:r>
      <w:r w:rsidR="003700A4">
        <w:rPr>
          <w:lang w:bidi="ar-SA"/>
        </w:rPr>
        <w:t xml:space="preserve">are expected to </w:t>
      </w:r>
      <w:r w:rsidR="00477DA5" w:rsidRPr="00477DA5">
        <w:rPr>
          <w:lang w:bidi="ar-SA"/>
        </w:rPr>
        <w:t xml:space="preserve">be negligible. </w:t>
      </w:r>
    </w:p>
    <w:p w14:paraId="6AFFC9B6" w14:textId="77777777" w:rsidR="00477DA5" w:rsidRDefault="00477DA5" w:rsidP="000F5720">
      <w:pPr>
        <w:rPr>
          <w:lang w:bidi="ar-SA"/>
        </w:rPr>
      </w:pPr>
    </w:p>
    <w:p w14:paraId="71EA3164" w14:textId="77777777" w:rsidR="004039D9" w:rsidRDefault="008611CB" w:rsidP="00507D3C">
      <w:pPr>
        <w:pStyle w:val="Heading2"/>
      </w:pPr>
      <w:bookmarkStart w:id="81" w:name="_Toc476908579"/>
      <w:bookmarkStart w:id="82" w:name="_Toc478375800"/>
      <w:r>
        <w:t>5</w:t>
      </w:r>
      <w:r w:rsidRPr="008C0160">
        <w:tab/>
      </w:r>
      <w:r>
        <w:t>Risk</w:t>
      </w:r>
      <w:r w:rsidRPr="008C0160">
        <w:t xml:space="preserve"> assessment</w:t>
      </w:r>
      <w:r>
        <w:t xml:space="preserve"> conclusion</w:t>
      </w:r>
      <w:bookmarkEnd w:id="81"/>
      <w:bookmarkEnd w:id="82"/>
    </w:p>
    <w:p w14:paraId="4075C748" w14:textId="77777777" w:rsidR="004039D9" w:rsidRDefault="004039D9" w:rsidP="004039D9">
      <w:r>
        <w:t>The use of chitin-glucan</w:t>
      </w:r>
      <w:r w:rsidRPr="004039D9">
        <w:t xml:space="preserve"> as a processing aid for the production of </w:t>
      </w:r>
      <w:r w:rsidR="00E34C83">
        <w:t>wine</w:t>
      </w:r>
      <w:r w:rsidR="00B44E18">
        <w:t>,</w:t>
      </w:r>
      <w:r w:rsidRPr="004039D9">
        <w:t xml:space="preserve"> </w:t>
      </w:r>
      <w:r w:rsidR="00B44E18">
        <w:t xml:space="preserve">as </w:t>
      </w:r>
      <w:r w:rsidRPr="004039D9">
        <w:t>proposed in this Application</w:t>
      </w:r>
      <w:r w:rsidR="00B44E18">
        <w:t>,</w:t>
      </w:r>
      <w:r w:rsidRPr="004039D9">
        <w:t xml:space="preserve"> raises no public health and safety concerns.  </w:t>
      </w:r>
    </w:p>
    <w:p w14:paraId="016AFC09" w14:textId="77777777" w:rsidR="00FA1160" w:rsidRPr="008C0160" w:rsidRDefault="00943496" w:rsidP="004039D9">
      <w:r w:rsidRPr="008C0160">
        <w:br w:type="page"/>
      </w:r>
    </w:p>
    <w:p w14:paraId="0053A7CF" w14:textId="77777777" w:rsidR="00795903" w:rsidRPr="008C0160" w:rsidRDefault="00795903" w:rsidP="0017617B">
      <w:pPr>
        <w:pStyle w:val="Heading1"/>
        <w:ind w:left="0" w:firstLine="0"/>
        <w:rPr>
          <w:b w:val="0"/>
        </w:rPr>
      </w:pPr>
      <w:bookmarkStart w:id="83" w:name="_Toc472668688"/>
      <w:bookmarkStart w:id="84" w:name="_Toc476908580"/>
      <w:bookmarkStart w:id="85" w:name="_Toc478375801"/>
      <w:r w:rsidRPr="008C0160">
        <w:lastRenderedPageBreak/>
        <w:t>Part B: PVI/PVP</w:t>
      </w:r>
      <w:r w:rsidR="00176D3E" w:rsidRPr="008C0160">
        <w:rPr>
          <w:b w:val="0"/>
        </w:rPr>
        <w:t xml:space="preserve"> </w:t>
      </w:r>
      <w:r w:rsidR="00370D52" w:rsidRPr="008C0160">
        <w:rPr>
          <w:b w:val="0"/>
        </w:rPr>
        <w:t>Co-polymers</w:t>
      </w:r>
      <w:r w:rsidRPr="008C0160">
        <w:rPr>
          <w:b w:val="0"/>
        </w:rPr>
        <w:t xml:space="preserve"> (Polyvinylimidazole-</w:t>
      </w:r>
      <w:r w:rsidR="006854B0" w:rsidRPr="008C0160">
        <w:rPr>
          <w:b w:val="0"/>
        </w:rPr>
        <w:t>Polyvinylpyrrolidone</w:t>
      </w:r>
      <w:r w:rsidRPr="008C0160">
        <w:rPr>
          <w:b w:val="0"/>
        </w:rPr>
        <w:t>)</w:t>
      </w:r>
      <w:bookmarkEnd w:id="83"/>
      <w:bookmarkEnd w:id="84"/>
      <w:bookmarkEnd w:id="85"/>
    </w:p>
    <w:p w14:paraId="24596F11" w14:textId="77777777" w:rsidR="00CB14D3" w:rsidRPr="008C0160" w:rsidRDefault="00F05977" w:rsidP="0017617B">
      <w:pPr>
        <w:pStyle w:val="Heading2"/>
      </w:pPr>
      <w:bookmarkStart w:id="86" w:name="_Toc472668689"/>
      <w:bookmarkStart w:id="87" w:name="_Toc476908581"/>
      <w:bookmarkStart w:id="88" w:name="_Toc478375802"/>
      <w:r w:rsidRPr="008C0160">
        <w:t>1</w:t>
      </w:r>
      <w:r w:rsidRPr="008C0160">
        <w:tab/>
      </w:r>
      <w:r w:rsidR="00CB14D3" w:rsidRPr="008C0160">
        <w:t>Introduction</w:t>
      </w:r>
      <w:bookmarkEnd w:id="86"/>
      <w:bookmarkEnd w:id="87"/>
      <w:bookmarkEnd w:id="88"/>
    </w:p>
    <w:p w14:paraId="1606AD5D" w14:textId="77777777" w:rsidR="00E24491" w:rsidRPr="008C0160" w:rsidRDefault="00F05977" w:rsidP="0017617B">
      <w:pPr>
        <w:pStyle w:val="Heading3"/>
      </w:pPr>
      <w:bookmarkStart w:id="89" w:name="_Toc470073473"/>
      <w:bookmarkStart w:id="90" w:name="_Toc470073474"/>
      <w:bookmarkStart w:id="91" w:name="_Toc472668690"/>
      <w:bookmarkStart w:id="92" w:name="_Toc476908582"/>
      <w:bookmarkStart w:id="93" w:name="_Toc478375803"/>
      <w:bookmarkEnd w:id="89"/>
      <w:r w:rsidRPr="008C0160">
        <w:t>1.1</w:t>
      </w:r>
      <w:r w:rsidRPr="008C0160">
        <w:tab/>
      </w:r>
      <w:r w:rsidR="00E24491" w:rsidRPr="008C0160">
        <w:t>Description</w:t>
      </w:r>
      <w:bookmarkEnd w:id="90"/>
      <w:bookmarkEnd w:id="91"/>
      <w:bookmarkEnd w:id="92"/>
      <w:bookmarkEnd w:id="93"/>
      <w:r w:rsidR="00E24491" w:rsidRPr="008C0160">
        <w:t xml:space="preserve"> </w:t>
      </w:r>
    </w:p>
    <w:p w14:paraId="1935901F" w14:textId="77777777" w:rsidR="00E24491" w:rsidRPr="0017617B" w:rsidRDefault="00E24491" w:rsidP="00E24491">
      <w:pPr>
        <w:widowControl/>
        <w:rPr>
          <w:lang w:bidi="ar-SA"/>
        </w:rPr>
      </w:pPr>
      <w:r w:rsidRPr="0017617B">
        <w:rPr>
          <w:lang w:bidi="ar-SA"/>
        </w:rPr>
        <w:t xml:space="preserve">Polyvinylimidazole-polyvinylpyrrolidone </w:t>
      </w:r>
      <w:r w:rsidR="00836EE9" w:rsidRPr="0017617B">
        <w:rPr>
          <w:lang w:bidi="ar-SA"/>
        </w:rPr>
        <w:t xml:space="preserve">(PVI/PVP </w:t>
      </w:r>
      <w:r w:rsidR="00370D52" w:rsidRPr="0017617B">
        <w:rPr>
          <w:lang w:bidi="ar-SA"/>
        </w:rPr>
        <w:t>co-</w:t>
      </w:r>
      <w:r w:rsidR="000179A0" w:rsidRPr="0017617B">
        <w:rPr>
          <w:lang w:bidi="ar-SA"/>
        </w:rPr>
        <w:t>polymers)</w:t>
      </w:r>
      <w:r w:rsidRPr="0017617B">
        <w:rPr>
          <w:lang w:bidi="ar-SA"/>
        </w:rPr>
        <w:t xml:space="preserve"> </w:t>
      </w:r>
      <w:r w:rsidR="000179A0" w:rsidRPr="0017617B">
        <w:rPr>
          <w:lang w:bidi="ar-SA"/>
        </w:rPr>
        <w:t>is</w:t>
      </w:r>
      <w:r w:rsidRPr="0017617B">
        <w:rPr>
          <w:lang w:bidi="ar-SA"/>
        </w:rPr>
        <w:t xml:space="preserve"> an insoluble adsorbent resin used in winemaking with specificity for </w:t>
      </w:r>
      <w:r w:rsidR="00DC323C">
        <w:rPr>
          <w:lang w:bidi="ar-SA"/>
        </w:rPr>
        <w:t>metals</w:t>
      </w:r>
      <w:r w:rsidRPr="0017617B">
        <w:rPr>
          <w:lang w:bidi="ar-SA"/>
        </w:rPr>
        <w:t xml:space="preserve"> such as copper and iron.</w:t>
      </w:r>
    </w:p>
    <w:p w14:paraId="36E6A5BE" w14:textId="77777777" w:rsidR="00E24491" w:rsidRPr="0017617B" w:rsidRDefault="00E24491" w:rsidP="00E24491">
      <w:pPr>
        <w:widowControl/>
        <w:rPr>
          <w:lang w:bidi="ar-SA"/>
        </w:rPr>
      </w:pPr>
    </w:p>
    <w:p w14:paraId="49713181" w14:textId="77777777" w:rsidR="00E24491" w:rsidRPr="0017617B" w:rsidRDefault="00E24491" w:rsidP="00E24491">
      <w:pPr>
        <w:widowControl/>
        <w:rPr>
          <w:lang w:bidi="ar-SA"/>
        </w:rPr>
      </w:pPr>
      <w:r w:rsidRPr="0017617B">
        <w:rPr>
          <w:lang w:bidi="ar-SA"/>
        </w:rPr>
        <w:t xml:space="preserve">PVI/PVP </w:t>
      </w:r>
      <w:r w:rsidR="00370D52" w:rsidRPr="0017617B">
        <w:rPr>
          <w:lang w:bidi="ar-SA"/>
        </w:rPr>
        <w:t>co-polymers</w:t>
      </w:r>
      <w:r w:rsidRPr="0017617B">
        <w:rPr>
          <w:lang w:bidi="ar-SA"/>
        </w:rPr>
        <w:t xml:space="preserve"> function to:</w:t>
      </w:r>
    </w:p>
    <w:p w14:paraId="168506A5" w14:textId="77777777" w:rsidR="00F05977" w:rsidRPr="0017617B" w:rsidRDefault="00F05977" w:rsidP="00E24491">
      <w:pPr>
        <w:widowControl/>
        <w:rPr>
          <w:lang w:bidi="ar-SA"/>
        </w:rPr>
      </w:pPr>
    </w:p>
    <w:p w14:paraId="085CA72F" w14:textId="77777777" w:rsidR="00E24491" w:rsidRPr="0017617B" w:rsidRDefault="00E24491" w:rsidP="0017617B">
      <w:pPr>
        <w:pStyle w:val="FSBullet1"/>
        <w:rPr>
          <w:rFonts w:eastAsia="Calibri"/>
        </w:rPr>
      </w:pPr>
      <w:r w:rsidRPr="0017617B">
        <w:rPr>
          <w:rFonts w:eastAsia="Calibri"/>
        </w:rPr>
        <w:t>form precipitates in alcoholic beverages to reduce undesirably high concentrations of:</w:t>
      </w:r>
    </w:p>
    <w:p w14:paraId="6586753D" w14:textId="77777777" w:rsidR="00F05977" w:rsidRPr="0017617B" w:rsidRDefault="00F05977" w:rsidP="0017617B">
      <w:pPr>
        <w:rPr>
          <w:rFonts w:eastAsia="Calibri"/>
          <w:lang w:bidi="ar-SA"/>
        </w:rPr>
      </w:pPr>
    </w:p>
    <w:p w14:paraId="724C83B8" w14:textId="77777777" w:rsidR="00E24491" w:rsidRPr="0017617B" w:rsidRDefault="00E24491" w:rsidP="0017617B">
      <w:pPr>
        <w:pStyle w:val="FSBullet2"/>
      </w:pPr>
      <w:r w:rsidRPr="0017617B">
        <w:t>naturally occurring metal cation contamination in the must or contamination through must or wine treatment from winemaking equipment</w:t>
      </w:r>
    </w:p>
    <w:p w14:paraId="7C660C85" w14:textId="77777777" w:rsidR="00E24491" w:rsidRPr="0017617B" w:rsidRDefault="00E24491" w:rsidP="0017617B">
      <w:pPr>
        <w:pStyle w:val="FSBullet2"/>
      </w:pPr>
      <w:r w:rsidRPr="0017617B">
        <w:t>copper enrichment following the treatment of wines by copper sulphate</w:t>
      </w:r>
    </w:p>
    <w:p w14:paraId="71FB530F" w14:textId="77777777" w:rsidR="00E24491" w:rsidRDefault="008C6964" w:rsidP="0017617B">
      <w:pPr>
        <w:pStyle w:val="FSBullet2"/>
      </w:pPr>
      <w:r>
        <w:t>i</w:t>
      </w:r>
      <w:r w:rsidR="00E24491" w:rsidRPr="0017617B">
        <w:t>ron, which forms complexes with tannins and phosphates, causing haze formation</w:t>
      </w:r>
    </w:p>
    <w:p w14:paraId="51AE5352" w14:textId="77777777" w:rsidR="008C6964" w:rsidRPr="0017617B" w:rsidRDefault="008C6964" w:rsidP="0017617B">
      <w:pPr>
        <w:pStyle w:val="FSBullet2"/>
      </w:pPr>
      <w:r>
        <w:t>aluminium.</w:t>
      </w:r>
    </w:p>
    <w:p w14:paraId="27BF47C8" w14:textId="77777777" w:rsidR="00F05977" w:rsidRPr="0017617B" w:rsidRDefault="00F05977" w:rsidP="0017617B">
      <w:pPr>
        <w:widowControl/>
        <w:tabs>
          <w:tab w:val="left" w:pos="993"/>
        </w:tabs>
        <w:ind w:left="990"/>
        <w:contextualSpacing/>
        <w:rPr>
          <w:rFonts w:eastAsia="Calibri"/>
          <w:szCs w:val="22"/>
          <w:lang w:bidi="ar-SA"/>
        </w:rPr>
      </w:pPr>
    </w:p>
    <w:p w14:paraId="70319912" w14:textId="77777777" w:rsidR="00E24491" w:rsidRPr="0017617B" w:rsidRDefault="00E24491" w:rsidP="0017617B">
      <w:pPr>
        <w:pStyle w:val="FSBullet1"/>
        <w:rPr>
          <w:rFonts w:eastAsia="Calibri"/>
        </w:rPr>
      </w:pPr>
      <w:r w:rsidRPr="0017617B">
        <w:rPr>
          <w:rFonts w:eastAsia="Calibri"/>
        </w:rPr>
        <w:t>prevent the destruction of varietal thiols, thereby stabilising the flavours present in several white varietals such as Sauvignon Blanc and certain red wines</w:t>
      </w:r>
    </w:p>
    <w:p w14:paraId="39CA4A71" w14:textId="77777777" w:rsidR="00E24491" w:rsidRPr="0017617B" w:rsidRDefault="00E24491" w:rsidP="0017617B">
      <w:pPr>
        <w:pStyle w:val="FSBullet1"/>
        <w:rPr>
          <w:rFonts w:eastAsia="Calibri"/>
        </w:rPr>
      </w:pPr>
      <w:r w:rsidRPr="0017617B">
        <w:rPr>
          <w:rFonts w:eastAsia="Calibri"/>
        </w:rPr>
        <w:t>prevent enzymatic and non-enzymatic browning reactions which are responsible for the undesirable brown discoloration of white and rosé wines</w:t>
      </w:r>
    </w:p>
    <w:p w14:paraId="2096911E" w14:textId="77777777" w:rsidR="00E24491" w:rsidRPr="0017617B" w:rsidRDefault="00E24491" w:rsidP="0017617B">
      <w:pPr>
        <w:pStyle w:val="FSBullet1"/>
        <w:rPr>
          <w:rFonts w:eastAsia="Calibri"/>
        </w:rPr>
      </w:pPr>
      <w:r w:rsidRPr="0017617B">
        <w:rPr>
          <w:rFonts w:eastAsia="Calibri"/>
        </w:rPr>
        <w:t>prevent hazes and “pinking”</w:t>
      </w:r>
      <w:r w:rsidR="00094F7A" w:rsidRPr="0017617B">
        <w:rPr>
          <w:rStyle w:val="FootnoteReference"/>
          <w:rFonts w:eastAsia="Calibri"/>
          <w:szCs w:val="22"/>
        </w:rPr>
        <w:footnoteReference w:id="3"/>
      </w:r>
      <w:r w:rsidRPr="0017617B">
        <w:rPr>
          <w:rFonts w:eastAsia="Calibri"/>
        </w:rPr>
        <w:t xml:space="preserve"> in wines</w:t>
      </w:r>
    </w:p>
    <w:p w14:paraId="6DC8C380" w14:textId="77777777" w:rsidR="00E24491" w:rsidRPr="0017617B" w:rsidRDefault="00E24491" w:rsidP="00E24491">
      <w:pPr>
        <w:widowControl/>
        <w:tabs>
          <w:tab w:val="left" w:pos="993"/>
        </w:tabs>
        <w:ind w:left="1287"/>
        <w:contextualSpacing/>
        <w:rPr>
          <w:rFonts w:eastAsia="Calibri"/>
          <w:szCs w:val="22"/>
          <w:lang w:bidi="ar-SA"/>
        </w:rPr>
      </w:pPr>
    </w:p>
    <w:p w14:paraId="4A00EC4D" w14:textId="77777777" w:rsidR="00F04409" w:rsidRPr="0017617B" w:rsidRDefault="00E24491" w:rsidP="00E24491">
      <w:pPr>
        <w:widowControl/>
        <w:rPr>
          <w:lang w:bidi="ar-SA"/>
        </w:rPr>
      </w:pPr>
      <w:r w:rsidRPr="0017617B">
        <w:rPr>
          <w:lang w:bidi="ar-SA"/>
        </w:rPr>
        <w:t xml:space="preserve">The technological purpose PVI/PVP </w:t>
      </w:r>
      <w:r w:rsidR="00370D52" w:rsidRPr="0017617B">
        <w:rPr>
          <w:lang w:bidi="ar-SA"/>
        </w:rPr>
        <w:t>co-polymers</w:t>
      </w:r>
      <w:r w:rsidRPr="0017617B">
        <w:rPr>
          <w:lang w:bidi="ar-SA"/>
        </w:rPr>
        <w:t xml:space="preserve"> are as decolourants, clarifying, filtration and adsorbent agents.</w:t>
      </w:r>
      <w:r w:rsidR="00985E94" w:rsidRPr="0017617B">
        <w:rPr>
          <w:lang w:bidi="ar-SA"/>
        </w:rPr>
        <w:t xml:space="preserve"> The precipitates formed by </w:t>
      </w:r>
      <w:r w:rsidR="00D6068A" w:rsidRPr="0017617B">
        <w:rPr>
          <w:lang w:bidi="ar-SA"/>
        </w:rPr>
        <w:t>them in wine</w:t>
      </w:r>
      <w:r w:rsidR="00985E94" w:rsidRPr="0017617B">
        <w:rPr>
          <w:lang w:bidi="ar-SA"/>
        </w:rPr>
        <w:t xml:space="preserve"> are removed via filtration or similar processes</w:t>
      </w:r>
      <w:r w:rsidR="00D6068A" w:rsidRPr="0017617B">
        <w:rPr>
          <w:lang w:bidi="ar-SA"/>
        </w:rPr>
        <w:t xml:space="preserve"> prior to bottling</w:t>
      </w:r>
      <w:r w:rsidR="00985E94" w:rsidRPr="0017617B">
        <w:rPr>
          <w:lang w:bidi="ar-SA"/>
        </w:rPr>
        <w:t>.</w:t>
      </w:r>
    </w:p>
    <w:p w14:paraId="207627E8" w14:textId="77777777" w:rsidR="00E24491" w:rsidRPr="008C0160" w:rsidRDefault="00F05977" w:rsidP="0017617B">
      <w:pPr>
        <w:pStyle w:val="Heading3"/>
      </w:pPr>
      <w:bookmarkStart w:id="94" w:name="_Toc472668691"/>
      <w:bookmarkStart w:id="95" w:name="_Toc476908583"/>
      <w:bookmarkStart w:id="96" w:name="_Toc478375804"/>
      <w:r w:rsidRPr="008C0160">
        <w:t>1.2</w:t>
      </w:r>
      <w:r w:rsidRPr="008C0160">
        <w:tab/>
      </w:r>
      <w:r w:rsidR="00E24491" w:rsidRPr="008C0160">
        <w:t>Current permissions</w:t>
      </w:r>
      <w:bookmarkEnd w:id="94"/>
      <w:bookmarkEnd w:id="95"/>
      <w:bookmarkEnd w:id="96"/>
    </w:p>
    <w:p w14:paraId="6FE5B244" w14:textId="77777777" w:rsidR="00F04409" w:rsidRPr="008C0160" w:rsidRDefault="00F05977" w:rsidP="0017617B">
      <w:pPr>
        <w:pStyle w:val="Heading4"/>
      </w:pPr>
      <w:bookmarkStart w:id="97" w:name="_Toc472668692"/>
      <w:r w:rsidRPr="008C0160">
        <w:t>1.2.1</w:t>
      </w:r>
      <w:r w:rsidRPr="008C0160">
        <w:tab/>
      </w:r>
      <w:r w:rsidR="00F04409" w:rsidRPr="008C0160">
        <w:t xml:space="preserve">OIV resolutions and other OIV documents </w:t>
      </w:r>
    </w:p>
    <w:p w14:paraId="59F4C360" w14:textId="77777777" w:rsidR="00F04409" w:rsidRPr="008C0160" w:rsidRDefault="00F04409" w:rsidP="00F04409">
      <w:pPr>
        <w:rPr>
          <w:lang w:eastAsia="en-AU" w:bidi="ar-SA"/>
        </w:rPr>
      </w:pPr>
      <w:r w:rsidRPr="008C0160">
        <w:rPr>
          <w:lang w:eastAsia="en-AU" w:bidi="ar-SA"/>
        </w:rPr>
        <w:t>Resolutions:</w:t>
      </w:r>
    </w:p>
    <w:p w14:paraId="1DF830A4" w14:textId="77777777" w:rsidR="00F05977" w:rsidRPr="008C0160" w:rsidRDefault="00F05977" w:rsidP="00F04409">
      <w:pPr>
        <w:rPr>
          <w:lang w:eastAsia="en-AU" w:bidi="ar-SA"/>
        </w:rPr>
      </w:pPr>
    </w:p>
    <w:p w14:paraId="556EB33B" w14:textId="77777777" w:rsidR="00F04409" w:rsidRPr="0017617B" w:rsidRDefault="00F04409" w:rsidP="0017617B">
      <w:pPr>
        <w:pStyle w:val="FSBullet1"/>
        <w:rPr>
          <w:rFonts w:eastAsia="Calibri"/>
        </w:rPr>
      </w:pPr>
      <w:r w:rsidRPr="0017617B">
        <w:rPr>
          <w:rFonts w:eastAsia="Calibri"/>
        </w:rPr>
        <w:t>OIV/OENO 1/2007 (Adsorbent copolymer treatment PVI/PVP (musts chapter)</w:t>
      </w:r>
    </w:p>
    <w:p w14:paraId="12DECC5B" w14:textId="77777777" w:rsidR="00F04409" w:rsidRPr="0017617B" w:rsidRDefault="00F04409" w:rsidP="0017617B">
      <w:pPr>
        <w:pStyle w:val="FSBullet1"/>
        <w:rPr>
          <w:rFonts w:eastAsia="Calibri"/>
        </w:rPr>
      </w:pPr>
      <w:r w:rsidRPr="0017617B">
        <w:rPr>
          <w:rFonts w:eastAsia="Calibri"/>
        </w:rPr>
        <w:t>OIV/OENO 2/2007 (Adsorbent copolymer treatment PVI/PVP (wines chapter)</w:t>
      </w:r>
    </w:p>
    <w:p w14:paraId="08528472" w14:textId="77777777" w:rsidR="00F04409" w:rsidRPr="0017617B" w:rsidRDefault="00F04409" w:rsidP="0017617B">
      <w:pPr>
        <w:pStyle w:val="FSBullet1"/>
        <w:rPr>
          <w:rFonts w:eastAsia="Calibri"/>
        </w:rPr>
      </w:pPr>
      <w:r w:rsidRPr="0017617B">
        <w:rPr>
          <w:rFonts w:eastAsia="Calibri"/>
        </w:rPr>
        <w:t>OIV/OENO 262-2014 (PVI/PVP adsorbent copolymers – Codex)</w:t>
      </w:r>
    </w:p>
    <w:p w14:paraId="60AFC488" w14:textId="77777777" w:rsidR="00F04409" w:rsidRPr="008C0160" w:rsidRDefault="00F04409" w:rsidP="00F04409">
      <w:pPr>
        <w:rPr>
          <w:lang w:eastAsia="en-AU" w:bidi="ar-SA"/>
        </w:rPr>
      </w:pPr>
    </w:p>
    <w:p w14:paraId="52137B4F" w14:textId="77777777" w:rsidR="00F04409" w:rsidRPr="008C0160" w:rsidRDefault="00F04409" w:rsidP="00F04409">
      <w:pPr>
        <w:rPr>
          <w:lang w:eastAsia="en-AU" w:bidi="ar-SA"/>
        </w:rPr>
      </w:pPr>
      <w:r w:rsidRPr="008C0160">
        <w:rPr>
          <w:lang w:eastAsia="en-AU" w:bidi="ar-SA"/>
        </w:rPr>
        <w:t>International Oenological Codex</w:t>
      </w:r>
      <w:r w:rsidR="00F05977" w:rsidRPr="008C0160">
        <w:rPr>
          <w:lang w:eastAsia="en-AU" w:bidi="ar-SA"/>
        </w:rPr>
        <w:t>:</w:t>
      </w:r>
    </w:p>
    <w:p w14:paraId="506E60BD" w14:textId="77777777" w:rsidR="00F05977" w:rsidRPr="008C0160" w:rsidRDefault="00F05977" w:rsidP="00F04409">
      <w:pPr>
        <w:rPr>
          <w:lang w:eastAsia="en-AU" w:bidi="ar-SA"/>
        </w:rPr>
      </w:pPr>
    </w:p>
    <w:p w14:paraId="358200BD" w14:textId="77777777" w:rsidR="00F04409" w:rsidRPr="0017617B" w:rsidRDefault="00F04409" w:rsidP="0017617B">
      <w:pPr>
        <w:pStyle w:val="FSBullet1"/>
        <w:rPr>
          <w:rFonts w:eastAsia="Calibri"/>
        </w:rPr>
      </w:pPr>
      <w:r w:rsidRPr="0017617B">
        <w:rPr>
          <w:rFonts w:eastAsia="Calibri"/>
        </w:rPr>
        <w:t>COEI-1-PVIPVP:2014, OENO 262/2014 (Adsorbent copolymers of polyvinylimidazole/polyvinylpyrrolidone (PVI/PVP))</w:t>
      </w:r>
    </w:p>
    <w:p w14:paraId="5763107A" w14:textId="77777777" w:rsidR="00D71E62" w:rsidRPr="008C0160" w:rsidRDefault="00F05977" w:rsidP="0017617B">
      <w:pPr>
        <w:pStyle w:val="Heading4"/>
      </w:pPr>
      <w:r w:rsidRPr="008C0160">
        <w:lastRenderedPageBreak/>
        <w:t>1.2.2</w:t>
      </w:r>
      <w:r w:rsidRPr="008C0160">
        <w:tab/>
      </w:r>
      <w:r w:rsidR="00E24491" w:rsidRPr="008C0160">
        <w:t>European Union</w:t>
      </w:r>
      <w:bookmarkEnd w:id="97"/>
    </w:p>
    <w:p w14:paraId="0E7BEC8B" w14:textId="77777777" w:rsidR="00E24491" w:rsidRPr="0017617B" w:rsidRDefault="00E24491" w:rsidP="008C5064">
      <w:pPr>
        <w:widowControl/>
        <w:tabs>
          <w:tab w:val="left" w:pos="630"/>
        </w:tabs>
        <w:contextualSpacing/>
        <w:rPr>
          <w:rFonts w:eastAsia="Calibri"/>
          <w:bCs/>
          <w:iCs/>
          <w:szCs w:val="22"/>
          <w:lang w:bidi="ar-SA"/>
        </w:rPr>
      </w:pPr>
      <w:r w:rsidRPr="0017617B">
        <w:rPr>
          <w:rFonts w:eastAsia="Calibri"/>
          <w:szCs w:val="22"/>
          <w:lang w:bidi="ar-SA"/>
        </w:rPr>
        <w:t xml:space="preserve">Under EC Regulation 606/2009, </w:t>
      </w:r>
      <w:r w:rsidR="008C6964">
        <w:rPr>
          <w:rFonts w:eastAsia="Calibri"/>
          <w:szCs w:val="22"/>
          <w:lang w:bidi="ar-SA"/>
        </w:rPr>
        <w:t xml:space="preserve">PVI/PVP is </w:t>
      </w:r>
      <w:r w:rsidRPr="0017617B">
        <w:rPr>
          <w:rFonts w:eastAsia="Calibri"/>
          <w:szCs w:val="22"/>
          <w:lang w:bidi="ar-SA"/>
        </w:rPr>
        <w:t xml:space="preserve">permitted </w:t>
      </w:r>
      <w:r w:rsidR="008C6964">
        <w:rPr>
          <w:rFonts w:eastAsia="Calibri"/>
          <w:szCs w:val="22"/>
          <w:lang w:bidi="ar-SA"/>
        </w:rPr>
        <w:t>for</w:t>
      </w:r>
      <w:r w:rsidR="00E7407B">
        <w:rPr>
          <w:rFonts w:eastAsia="Calibri"/>
          <w:szCs w:val="22"/>
          <w:lang w:bidi="ar-SA"/>
        </w:rPr>
        <w:t xml:space="preserve"> reducing</w:t>
      </w:r>
      <w:r w:rsidRPr="0017617B">
        <w:rPr>
          <w:rFonts w:eastAsia="Calibri"/>
          <w:szCs w:val="22"/>
          <w:lang w:bidi="ar-SA"/>
        </w:rPr>
        <w:t xml:space="preserve"> the copper, iron and metal content with the r</w:t>
      </w:r>
      <w:r w:rsidRPr="0017617B">
        <w:rPr>
          <w:rFonts w:eastAsia="Calibri"/>
          <w:bCs/>
          <w:iCs/>
          <w:szCs w:val="22"/>
          <w:lang w:bidi="ar-SA"/>
        </w:rPr>
        <w:t>equirements being:</w:t>
      </w:r>
    </w:p>
    <w:p w14:paraId="432E4A44" w14:textId="77777777" w:rsidR="00003031" w:rsidRPr="0017617B" w:rsidRDefault="00003031" w:rsidP="008C5064">
      <w:pPr>
        <w:widowControl/>
        <w:tabs>
          <w:tab w:val="left" w:pos="630"/>
        </w:tabs>
        <w:contextualSpacing/>
        <w:rPr>
          <w:rFonts w:eastAsia="Calibri"/>
          <w:szCs w:val="22"/>
          <w:lang w:bidi="ar-SA"/>
        </w:rPr>
      </w:pPr>
    </w:p>
    <w:p w14:paraId="61E3EE44" w14:textId="77777777" w:rsidR="00E24491" w:rsidRPr="0017617B" w:rsidRDefault="00E24491" w:rsidP="0017617B">
      <w:pPr>
        <w:pStyle w:val="FSBullet1"/>
        <w:rPr>
          <w:rFonts w:eastAsia="Calibri"/>
        </w:rPr>
      </w:pPr>
      <w:r w:rsidRPr="0017617B">
        <w:rPr>
          <w:rFonts w:eastAsia="Calibri"/>
        </w:rPr>
        <w:t>Purpose:</w:t>
      </w:r>
    </w:p>
    <w:p w14:paraId="00387F33" w14:textId="77777777" w:rsidR="00E24491" w:rsidRPr="0017617B" w:rsidRDefault="00E24491" w:rsidP="0017617B">
      <w:pPr>
        <w:pStyle w:val="FSBullet2"/>
      </w:pPr>
      <w:r w:rsidRPr="0017617B">
        <w:t xml:space="preserve">to reduce excessively high concentrations of metals and to prevent defects caused by this excessively high content, such as ferric casse, through the addition of </w:t>
      </w:r>
      <w:r w:rsidR="00370D52" w:rsidRPr="0017617B">
        <w:t>co-polymers</w:t>
      </w:r>
      <w:r w:rsidRPr="0017617B">
        <w:t xml:space="preserve"> that adsorb these metals. </w:t>
      </w:r>
    </w:p>
    <w:p w14:paraId="12746880" w14:textId="77777777" w:rsidR="008C5064" w:rsidRPr="0017617B" w:rsidRDefault="008C5064" w:rsidP="008C5064">
      <w:pPr>
        <w:widowControl/>
        <w:tabs>
          <w:tab w:val="left" w:pos="630"/>
        </w:tabs>
        <w:ind w:left="2070"/>
        <w:contextualSpacing/>
        <w:rPr>
          <w:rFonts w:eastAsia="Calibri"/>
          <w:szCs w:val="22"/>
          <w:lang w:bidi="ar-SA"/>
        </w:rPr>
      </w:pPr>
    </w:p>
    <w:p w14:paraId="16D9A6FC" w14:textId="77777777" w:rsidR="00E24491" w:rsidRPr="0017617B" w:rsidRDefault="00E24491" w:rsidP="0017617B">
      <w:pPr>
        <w:pStyle w:val="FSBullet1"/>
        <w:rPr>
          <w:rFonts w:eastAsia="Calibri"/>
        </w:rPr>
      </w:pPr>
      <w:r w:rsidRPr="0017617B">
        <w:rPr>
          <w:rFonts w:eastAsia="Calibri"/>
        </w:rPr>
        <w:t>Requirements:</w:t>
      </w:r>
    </w:p>
    <w:p w14:paraId="36E7C109" w14:textId="77777777" w:rsidR="00E24491" w:rsidRPr="0017617B" w:rsidRDefault="00E24491" w:rsidP="0017617B">
      <w:pPr>
        <w:pStyle w:val="FSBullet2"/>
      </w:pPr>
      <w:r w:rsidRPr="0017617B">
        <w:t xml:space="preserve">The added </w:t>
      </w:r>
      <w:r w:rsidR="00370D52" w:rsidRPr="0017617B">
        <w:t>co-polymers</w:t>
      </w:r>
      <w:r w:rsidRPr="0017617B">
        <w:t xml:space="preserve"> must be eliminated by filtering within two days at most of their addition to the wine </w:t>
      </w:r>
    </w:p>
    <w:p w14:paraId="73E537BC" w14:textId="77777777" w:rsidR="00E24491" w:rsidRPr="0017617B" w:rsidRDefault="00E24491" w:rsidP="0017617B">
      <w:pPr>
        <w:pStyle w:val="FSBullet2"/>
      </w:pPr>
      <w:r w:rsidRPr="0017617B">
        <w:t xml:space="preserve">In the case of musts, the </w:t>
      </w:r>
      <w:r w:rsidR="00370D52" w:rsidRPr="0017617B">
        <w:t>co-polymers</w:t>
      </w:r>
      <w:r w:rsidRPr="0017617B">
        <w:t xml:space="preserve"> must be added no earlier than two days before filtering</w:t>
      </w:r>
    </w:p>
    <w:p w14:paraId="3B9825ED" w14:textId="77777777" w:rsidR="00E24491" w:rsidRPr="0017617B" w:rsidRDefault="00E24491" w:rsidP="0017617B">
      <w:pPr>
        <w:pStyle w:val="FSBullet2"/>
      </w:pPr>
      <w:r w:rsidRPr="0017617B">
        <w:t xml:space="preserve">The treatment is to be carried out under the responsibility of an oenologist or qualified technician </w:t>
      </w:r>
    </w:p>
    <w:p w14:paraId="56F3CE09" w14:textId="77777777" w:rsidR="00E24491" w:rsidRPr="0017617B" w:rsidRDefault="00E24491" w:rsidP="0017617B">
      <w:pPr>
        <w:pStyle w:val="FSBullet2"/>
      </w:pPr>
      <w:r w:rsidRPr="0017617B">
        <w:t xml:space="preserve">The adsorbent </w:t>
      </w:r>
      <w:r w:rsidR="00370D52" w:rsidRPr="0017617B">
        <w:t>co-polymers</w:t>
      </w:r>
      <w:r w:rsidRPr="0017617B">
        <w:t xml:space="preserve"> used must comply with the requirements of the International Oenological Codex published by the International Organisation of Vine and Wine, especially as regards the maximum monomer content. </w:t>
      </w:r>
    </w:p>
    <w:p w14:paraId="62342069" w14:textId="77777777" w:rsidR="00E24491" w:rsidRPr="008C0160" w:rsidRDefault="00003031" w:rsidP="0017617B">
      <w:pPr>
        <w:pStyle w:val="Heading4"/>
      </w:pPr>
      <w:bookmarkStart w:id="98" w:name="_Toc472668693"/>
      <w:r w:rsidRPr="008C0160">
        <w:t>1.2.3</w:t>
      </w:r>
      <w:r w:rsidRPr="008C0160">
        <w:tab/>
      </w:r>
      <w:r w:rsidR="00E24491" w:rsidRPr="008C0160">
        <w:t>United States</w:t>
      </w:r>
      <w:bookmarkEnd w:id="98"/>
      <w:r w:rsidRPr="008C0160">
        <w:t xml:space="preserve"> of America</w:t>
      </w:r>
    </w:p>
    <w:p w14:paraId="04CC40A1" w14:textId="77777777" w:rsidR="00E24491" w:rsidRPr="0017617B" w:rsidRDefault="00510517" w:rsidP="008C5064">
      <w:pPr>
        <w:widowControl/>
        <w:tabs>
          <w:tab w:val="left" w:pos="630"/>
        </w:tabs>
        <w:contextualSpacing/>
        <w:rPr>
          <w:lang w:bidi="ar-SA"/>
        </w:rPr>
      </w:pPr>
      <w:r>
        <w:rPr>
          <w:rFonts w:eastAsia="Calibri"/>
          <w:szCs w:val="22"/>
          <w:lang w:bidi="ar-SA"/>
        </w:rPr>
        <w:t xml:space="preserve">PVI/PVP is </w:t>
      </w:r>
      <w:r>
        <w:rPr>
          <w:lang w:bidi="ar-SA"/>
        </w:rPr>
        <w:t>p</w:t>
      </w:r>
      <w:r w:rsidRPr="0017617B">
        <w:rPr>
          <w:lang w:bidi="ar-SA"/>
        </w:rPr>
        <w:t xml:space="preserve">ermitted </w:t>
      </w:r>
      <w:r w:rsidR="00E24491" w:rsidRPr="0017617B">
        <w:rPr>
          <w:lang w:bidi="ar-SA"/>
        </w:rPr>
        <w:t>for beverages under Title 21 CFR 173.50 and FDA FCN No. 320</w:t>
      </w:r>
      <w:r w:rsidR="00003031" w:rsidRPr="0017617B">
        <w:rPr>
          <w:lang w:bidi="ar-SA"/>
        </w:rPr>
        <w:t xml:space="preserve">. </w:t>
      </w:r>
      <w:r w:rsidR="00E24491" w:rsidRPr="0017617B">
        <w:rPr>
          <w:lang w:bidi="ar-SA"/>
        </w:rPr>
        <w:t>The amount used to treat the wine must not exceed 80 grams per 100 litres of wine.</w:t>
      </w:r>
    </w:p>
    <w:p w14:paraId="2AD803DB" w14:textId="77777777" w:rsidR="00E24491" w:rsidRPr="008C0160" w:rsidRDefault="00003031" w:rsidP="0017617B">
      <w:pPr>
        <w:pStyle w:val="Heading3"/>
      </w:pPr>
      <w:bookmarkStart w:id="99" w:name="_Toc472668694"/>
      <w:bookmarkStart w:id="100" w:name="_Toc476908584"/>
      <w:bookmarkStart w:id="101" w:name="_Toc478375805"/>
      <w:r w:rsidRPr="008C0160">
        <w:t>1.3</w:t>
      </w:r>
      <w:r w:rsidRPr="008C0160">
        <w:tab/>
      </w:r>
      <w:r w:rsidR="000F78AE" w:rsidRPr="008C0160">
        <w:t>Risk assessment questions</w:t>
      </w:r>
      <w:bookmarkEnd w:id="99"/>
      <w:bookmarkEnd w:id="100"/>
      <w:bookmarkEnd w:id="101"/>
    </w:p>
    <w:p w14:paraId="3C18B835" w14:textId="77777777" w:rsidR="00887741" w:rsidRPr="008C0160" w:rsidRDefault="00003031" w:rsidP="0017617B">
      <w:pPr>
        <w:pStyle w:val="Heading4"/>
      </w:pPr>
      <w:r w:rsidRPr="008C0160">
        <w:t>1.3.1</w:t>
      </w:r>
      <w:r w:rsidRPr="008C0160">
        <w:tab/>
      </w:r>
      <w:r w:rsidR="00887741" w:rsidRPr="008C0160">
        <w:t>Technological function</w:t>
      </w:r>
    </w:p>
    <w:p w14:paraId="1B5FA651" w14:textId="77777777" w:rsidR="00991712" w:rsidRPr="0017617B" w:rsidRDefault="00991712" w:rsidP="00887741">
      <w:pPr>
        <w:widowControl/>
        <w:tabs>
          <w:tab w:val="left" w:pos="630"/>
        </w:tabs>
        <w:contextualSpacing/>
        <w:rPr>
          <w:lang w:bidi="ar-SA"/>
        </w:rPr>
      </w:pPr>
      <w:r w:rsidRPr="0017617B">
        <w:rPr>
          <w:lang w:bidi="ar-SA"/>
        </w:rPr>
        <w:t>Is the technological function clearly stated and do PVI/PVP co-polymers achieve that function as a food processing aid in the quantity and form proposed?</w:t>
      </w:r>
    </w:p>
    <w:p w14:paraId="3F7C3BD4" w14:textId="77777777" w:rsidR="00887741" w:rsidRPr="008C0160" w:rsidRDefault="00003031" w:rsidP="0017617B">
      <w:pPr>
        <w:pStyle w:val="Heading4"/>
      </w:pPr>
      <w:r w:rsidRPr="008C0160">
        <w:t>1.3.2</w:t>
      </w:r>
      <w:r w:rsidRPr="008C0160">
        <w:tab/>
      </w:r>
      <w:r w:rsidR="00887741" w:rsidRPr="008C0160">
        <w:t>Health and safety</w:t>
      </w:r>
    </w:p>
    <w:p w14:paraId="1C101C05" w14:textId="77777777" w:rsidR="00991712" w:rsidRPr="008C0160" w:rsidRDefault="00991712" w:rsidP="00887741">
      <w:pPr>
        <w:widowControl/>
        <w:tabs>
          <w:tab w:val="left" w:pos="630"/>
        </w:tabs>
        <w:contextualSpacing/>
        <w:rPr>
          <w:lang w:eastAsia="en-AU" w:bidi="ar-SA"/>
        </w:rPr>
      </w:pPr>
      <w:r w:rsidRPr="0017617B">
        <w:rPr>
          <w:lang w:bidi="ar-SA"/>
        </w:rPr>
        <w:t>Are there any potential public health and safety concerns that may arise from the use of PVI/PVP co-polymers as a processing aid in the manufacture of wine in Australia and New Zealand?</w:t>
      </w:r>
    </w:p>
    <w:p w14:paraId="310FA3CA" w14:textId="77777777" w:rsidR="00541660" w:rsidRPr="008C0160" w:rsidRDefault="00FE354D" w:rsidP="0017617B">
      <w:pPr>
        <w:pStyle w:val="Heading2"/>
      </w:pPr>
      <w:bookmarkStart w:id="102" w:name="_Toc470073476"/>
      <w:bookmarkStart w:id="103" w:name="_Toc472668695"/>
      <w:bookmarkStart w:id="104" w:name="_Toc476908585"/>
      <w:bookmarkStart w:id="105" w:name="_Toc478375806"/>
      <w:bookmarkEnd w:id="102"/>
      <w:r w:rsidRPr="008C0160">
        <w:t>2</w:t>
      </w:r>
      <w:r w:rsidRPr="008C0160">
        <w:tab/>
      </w:r>
      <w:r w:rsidR="00541660" w:rsidRPr="008C0160">
        <w:t>Food technology assessment</w:t>
      </w:r>
      <w:bookmarkEnd w:id="103"/>
      <w:bookmarkEnd w:id="104"/>
      <w:bookmarkEnd w:id="105"/>
    </w:p>
    <w:p w14:paraId="400B4A29" w14:textId="77777777" w:rsidR="0021172C" w:rsidRPr="008C0160" w:rsidRDefault="00FE354D" w:rsidP="0017617B">
      <w:pPr>
        <w:pStyle w:val="Heading3"/>
      </w:pPr>
      <w:bookmarkStart w:id="106" w:name="_Toc472668696"/>
      <w:bookmarkStart w:id="107" w:name="_Toc476908586"/>
      <w:bookmarkStart w:id="108" w:name="_Toc478375807"/>
      <w:r w:rsidRPr="008C0160">
        <w:t>2.1</w:t>
      </w:r>
      <w:r w:rsidRPr="008C0160">
        <w:tab/>
      </w:r>
      <w:r w:rsidR="0021172C" w:rsidRPr="008C0160">
        <w:t>Technological purpose</w:t>
      </w:r>
      <w:bookmarkEnd w:id="106"/>
      <w:bookmarkEnd w:id="107"/>
      <w:bookmarkEnd w:id="108"/>
    </w:p>
    <w:p w14:paraId="0C28CF34" w14:textId="77777777" w:rsidR="0021172C" w:rsidRPr="0017617B" w:rsidRDefault="008F156A" w:rsidP="00BF54AD">
      <w:pPr>
        <w:widowControl/>
        <w:rPr>
          <w:lang w:bidi="ar-SA"/>
        </w:rPr>
      </w:pPr>
      <w:r w:rsidRPr="0017617B">
        <w:rPr>
          <w:lang w:bidi="ar-SA"/>
        </w:rPr>
        <w:t xml:space="preserve">The Applicant has </w:t>
      </w:r>
      <w:r w:rsidR="0021172C" w:rsidRPr="0017617B">
        <w:rPr>
          <w:lang w:bidi="ar-SA"/>
        </w:rPr>
        <w:t>describe</w:t>
      </w:r>
      <w:r w:rsidRPr="0017617B">
        <w:rPr>
          <w:lang w:bidi="ar-SA"/>
        </w:rPr>
        <w:t>d</w:t>
      </w:r>
      <w:r w:rsidR="0021172C" w:rsidRPr="0017617B">
        <w:rPr>
          <w:lang w:bidi="ar-SA"/>
        </w:rPr>
        <w:t xml:space="preserve"> the function of PVI/PVP </w:t>
      </w:r>
      <w:r w:rsidR="00370D52" w:rsidRPr="0017617B">
        <w:rPr>
          <w:lang w:bidi="ar-SA"/>
        </w:rPr>
        <w:t>co-polymers</w:t>
      </w:r>
      <w:r w:rsidR="0021172C" w:rsidRPr="0017617B">
        <w:rPr>
          <w:lang w:bidi="ar-SA"/>
        </w:rPr>
        <w:t xml:space="preserve"> as insoluble adsorbent </w:t>
      </w:r>
      <w:r w:rsidRPr="0017617B">
        <w:rPr>
          <w:lang w:bidi="ar-SA"/>
        </w:rPr>
        <w:t>resins performing</w:t>
      </w:r>
      <w:r w:rsidR="0021172C" w:rsidRPr="0017617B">
        <w:rPr>
          <w:lang w:bidi="ar-SA"/>
        </w:rPr>
        <w:t xml:space="preserve"> several functions in winemaking</w:t>
      </w:r>
      <w:r w:rsidR="009F4510">
        <w:rPr>
          <w:lang w:bidi="ar-SA"/>
        </w:rPr>
        <w:t xml:space="preserve"> (</w:t>
      </w:r>
      <w:r w:rsidR="009F4510" w:rsidRPr="009F4510">
        <w:rPr>
          <w:lang w:bidi="ar-SA"/>
        </w:rPr>
        <w:t>Enartis</w:t>
      </w:r>
      <w:r w:rsidR="009F4510">
        <w:rPr>
          <w:lang w:bidi="ar-SA"/>
        </w:rPr>
        <w:t>)</w:t>
      </w:r>
      <w:r w:rsidR="00063538">
        <w:rPr>
          <w:lang w:bidi="ar-SA"/>
        </w:rPr>
        <w:t>, compared to PVP alone</w:t>
      </w:r>
      <w:r w:rsidR="0021172C" w:rsidRPr="0017617B">
        <w:rPr>
          <w:lang w:bidi="ar-SA"/>
        </w:rPr>
        <w:t xml:space="preserve">, namely: </w:t>
      </w:r>
    </w:p>
    <w:p w14:paraId="14A1BC3C" w14:textId="77777777" w:rsidR="00456D83" w:rsidRPr="0017617B" w:rsidRDefault="00456D83" w:rsidP="00BF54AD">
      <w:pPr>
        <w:widowControl/>
        <w:rPr>
          <w:lang w:bidi="ar-SA"/>
        </w:rPr>
      </w:pPr>
    </w:p>
    <w:p w14:paraId="1BBF0212" w14:textId="77777777" w:rsidR="0021172C" w:rsidRPr="0017617B" w:rsidRDefault="0021172C" w:rsidP="0017617B">
      <w:pPr>
        <w:pStyle w:val="FSBullet1"/>
        <w:rPr>
          <w:rFonts w:eastAsia="Calibri"/>
        </w:rPr>
      </w:pPr>
      <w:r w:rsidRPr="0017617B">
        <w:rPr>
          <w:rFonts w:eastAsia="Calibri"/>
        </w:rPr>
        <w:t xml:space="preserve">the specific adsorption </w:t>
      </w:r>
      <w:r w:rsidR="00672A17">
        <w:rPr>
          <w:rFonts w:eastAsia="Calibri"/>
        </w:rPr>
        <w:t xml:space="preserve">of </w:t>
      </w:r>
      <w:r w:rsidR="00DC323C">
        <w:rPr>
          <w:rFonts w:eastAsia="Calibri"/>
        </w:rPr>
        <w:t>metals</w:t>
      </w:r>
      <w:r w:rsidRPr="0017617B">
        <w:rPr>
          <w:rFonts w:eastAsia="Calibri"/>
        </w:rPr>
        <w:t xml:space="preserve"> such as copper and iron, as well as for aluminium, allowing higher concentrations to be removed, thereby </w:t>
      </w:r>
      <w:r w:rsidR="00063538">
        <w:rPr>
          <w:rFonts w:eastAsia="Calibri"/>
        </w:rPr>
        <w:t xml:space="preserve"> more efficiently </w:t>
      </w:r>
      <w:r w:rsidRPr="0017617B">
        <w:rPr>
          <w:rFonts w:eastAsia="Calibri"/>
        </w:rPr>
        <w:t xml:space="preserve">preventing hazes in wines </w:t>
      </w:r>
    </w:p>
    <w:p w14:paraId="09BF2FD4" w14:textId="77777777" w:rsidR="00FE354D" w:rsidRPr="0017617B" w:rsidRDefault="00FE354D" w:rsidP="0017617B">
      <w:pPr>
        <w:rPr>
          <w:rFonts w:eastAsia="Calibri"/>
          <w:lang w:bidi="ar-SA"/>
        </w:rPr>
      </w:pPr>
    </w:p>
    <w:p w14:paraId="069A8FD7" w14:textId="77777777" w:rsidR="0021172C" w:rsidRPr="0017617B" w:rsidRDefault="0021172C" w:rsidP="0017617B">
      <w:pPr>
        <w:pStyle w:val="FSBullet1"/>
        <w:rPr>
          <w:rFonts w:eastAsia="Calibri"/>
        </w:rPr>
      </w:pPr>
      <w:r w:rsidRPr="0017617B">
        <w:rPr>
          <w:rFonts w:eastAsia="Calibri"/>
        </w:rPr>
        <w:t xml:space="preserve">elimination of </w:t>
      </w:r>
      <w:r w:rsidR="00DC323C">
        <w:rPr>
          <w:rFonts w:eastAsia="Calibri"/>
        </w:rPr>
        <w:t>metals</w:t>
      </w:r>
      <w:r w:rsidRPr="0017617B">
        <w:rPr>
          <w:rFonts w:eastAsia="Calibri"/>
        </w:rPr>
        <w:t>, such as copper</w:t>
      </w:r>
      <w:r w:rsidR="00672A17">
        <w:rPr>
          <w:rFonts w:eastAsia="Calibri"/>
        </w:rPr>
        <w:t>, thus</w:t>
      </w:r>
      <w:r w:rsidRPr="0017617B">
        <w:rPr>
          <w:rFonts w:eastAsia="Calibri"/>
        </w:rPr>
        <w:t xml:space="preserve"> preventing the destruction of varietal thiols present in several white varietals such as Sauvignon Blanc, as well </w:t>
      </w:r>
      <w:r w:rsidR="002556D7" w:rsidRPr="0017617B">
        <w:rPr>
          <w:rFonts w:eastAsia="Calibri"/>
        </w:rPr>
        <w:t xml:space="preserve">as </w:t>
      </w:r>
      <w:r w:rsidRPr="0017617B">
        <w:rPr>
          <w:rFonts w:eastAsia="Calibri"/>
        </w:rPr>
        <w:t xml:space="preserve">in certain red wines </w:t>
      </w:r>
    </w:p>
    <w:p w14:paraId="728CEAF1" w14:textId="77777777" w:rsidR="00FE354D" w:rsidRPr="0017617B" w:rsidRDefault="00FE354D" w:rsidP="0017617B">
      <w:pPr>
        <w:rPr>
          <w:rFonts w:eastAsia="Calibri"/>
          <w:lang w:bidi="ar-SA"/>
        </w:rPr>
      </w:pPr>
    </w:p>
    <w:p w14:paraId="231E1677" w14:textId="77777777" w:rsidR="0021172C" w:rsidRPr="0017617B" w:rsidRDefault="0021172C" w:rsidP="0017617B">
      <w:pPr>
        <w:pStyle w:val="FSBullet1"/>
        <w:rPr>
          <w:rFonts w:eastAsia="Calibri"/>
        </w:rPr>
      </w:pPr>
      <w:r w:rsidRPr="0017617B">
        <w:rPr>
          <w:rFonts w:eastAsia="Calibri"/>
        </w:rPr>
        <w:lastRenderedPageBreak/>
        <w:t xml:space="preserve">the prevention of browning through the adsorption of phenolic compounds such as 3,4- dihydroxycinnamic acid derivatives, which otherwise enter into enzymatic and non-enzymatic reactions. The products of these reactions are responsible for the undesirable brown discoloration of white and rosé wines. </w:t>
      </w:r>
    </w:p>
    <w:p w14:paraId="545090E5" w14:textId="77777777" w:rsidR="00FE354D" w:rsidRPr="0017617B" w:rsidRDefault="00FE354D" w:rsidP="0017617B">
      <w:pPr>
        <w:rPr>
          <w:rFonts w:eastAsia="Calibri"/>
          <w:lang w:bidi="ar-SA"/>
        </w:rPr>
      </w:pPr>
    </w:p>
    <w:p w14:paraId="31D38DD7" w14:textId="77777777" w:rsidR="0021172C" w:rsidRPr="0017617B" w:rsidRDefault="0021172C" w:rsidP="0017617B">
      <w:pPr>
        <w:pStyle w:val="FSBullet1"/>
        <w:rPr>
          <w:rFonts w:eastAsia="Calibri"/>
        </w:rPr>
      </w:pPr>
      <w:r w:rsidRPr="0017617B">
        <w:rPr>
          <w:rFonts w:eastAsia="Calibri"/>
        </w:rPr>
        <w:t xml:space="preserve">prevention of </w:t>
      </w:r>
      <w:r w:rsidR="00D11688" w:rsidRPr="0017617B">
        <w:rPr>
          <w:rFonts w:eastAsia="Calibri"/>
        </w:rPr>
        <w:t>“</w:t>
      </w:r>
      <w:r w:rsidRPr="0017617B">
        <w:rPr>
          <w:rFonts w:eastAsia="Calibri"/>
        </w:rPr>
        <w:t>pinking</w:t>
      </w:r>
      <w:r w:rsidR="00D11688" w:rsidRPr="0017617B">
        <w:rPr>
          <w:rFonts w:eastAsia="Calibri"/>
        </w:rPr>
        <w:t>”</w:t>
      </w:r>
      <w:r w:rsidRPr="0017617B">
        <w:rPr>
          <w:rFonts w:eastAsia="Calibri"/>
        </w:rPr>
        <w:t xml:space="preserve"> of white wines by eliminating catalysers of oxidation such as iron and copper and by reducing the polyphenolic content of wine. </w:t>
      </w:r>
    </w:p>
    <w:p w14:paraId="1BF5331F" w14:textId="77777777" w:rsidR="008F156A" w:rsidRPr="0017617B" w:rsidRDefault="008F156A" w:rsidP="00BF54AD">
      <w:pPr>
        <w:widowControl/>
        <w:rPr>
          <w:lang w:bidi="ar-SA"/>
        </w:rPr>
      </w:pPr>
    </w:p>
    <w:p w14:paraId="28B6E0B7" w14:textId="77777777" w:rsidR="00836EE9" w:rsidRPr="0017617B" w:rsidRDefault="0021172C" w:rsidP="00BF54AD">
      <w:pPr>
        <w:widowControl/>
        <w:rPr>
          <w:lang w:bidi="ar-SA"/>
        </w:rPr>
      </w:pPr>
      <w:r w:rsidRPr="0017617B">
        <w:rPr>
          <w:lang w:bidi="ar-SA"/>
        </w:rPr>
        <w:t xml:space="preserve">The technological </w:t>
      </w:r>
      <w:r w:rsidR="009E51C1" w:rsidRPr="0017617B">
        <w:rPr>
          <w:lang w:bidi="ar-SA"/>
        </w:rPr>
        <w:t>functions</w:t>
      </w:r>
      <w:r w:rsidR="008F156A" w:rsidRPr="0017617B">
        <w:rPr>
          <w:lang w:bidi="ar-SA"/>
        </w:rPr>
        <w:t xml:space="preserve"> provided by the resins are </w:t>
      </w:r>
      <w:r w:rsidRPr="0017617B">
        <w:rPr>
          <w:lang w:bidi="ar-SA"/>
        </w:rPr>
        <w:t xml:space="preserve">as decolourants, clarifying, filtration and adsorbent agents. </w:t>
      </w:r>
    </w:p>
    <w:p w14:paraId="0AD785A8" w14:textId="77777777" w:rsidR="0021172C" w:rsidRPr="008C0160" w:rsidRDefault="00FE354D" w:rsidP="0017617B">
      <w:pPr>
        <w:pStyle w:val="Heading3"/>
      </w:pPr>
      <w:bookmarkStart w:id="109" w:name="_Toc472668697"/>
      <w:bookmarkStart w:id="110" w:name="_Toc476908587"/>
      <w:bookmarkStart w:id="111" w:name="_Toc478375808"/>
      <w:r w:rsidRPr="008C0160">
        <w:t>2.2</w:t>
      </w:r>
      <w:r w:rsidRPr="008C0160">
        <w:tab/>
      </w:r>
      <w:r w:rsidR="0021172C" w:rsidRPr="008C0160">
        <w:t>Technological justification</w:t>
      </w:r>
      <w:bookmarkEnd w:id="109"/>
      <w:bookmarkEnd w:id="110"/>
      <w:bookmarkEnd w:id="111"/>
    </w:p>
    <w:p w14:paraId="092F21DA" w14:textId="77777777" w:rsidR="0021172C" w:rsidRPr="0017617B" w:rsidRDefault="0021172C" w:rsidP="00BF54AD">
      <w:pPr>
        <w:widowControl/>
        <w:rPr>
          <w:lang w:bidi="ar-SA"/>
        </w:rPr>
      </w:pPr>
      <w:r w:rsidRPr="0017617B">
        <w:rPr>
          <w:lang w:bidi="ar-SA"/>
        </w:rPr>
        <w:t>The applicant provided a study on the influence of PVI</w:t>
      </w:r>
      <w:r w:rsidR="00510517">
        <w:rPr>
          <w:lang w:bidi="ar-SA"/>
        </w:rPr>
        <w:t>/</w:t>
      </w:r>
      <w:r w:rsidRPr="0017617B">
        <w:rPr>
          <w:lang w:bidi="ar-SA"/>
        </w:rPr>
        <w:t>PVP co</w:t>
      </w:r>
      <w:r w:rsidR="00D11688" w:rsidRPr="0017617B">
        <w:rPr>
          <w:lang w:bidi="ar-SA"/>
        </w:rPr>
        <w:t>-</w:t>
      </w:r>
      <w:r w:rsidR="000179A0" w:rsidRPr="0017617B">
        <w:rPr>
          <w:lang w:bidi="ar-SA"/>
        </w:rPr>
        <w:t>polymers</w:t>
      </w:r>
      <w:r w:rsidRPr="0017617B">
        <w:rPr>
          <w:lang w:bidi="ar-SA"/>
        </w:rPr>
        <w:t xml:space="preserve"> on the removal of </w:t>
      </w:r>
      <w:r w:rsidR="00DC323C">
        <w:rPr>
          <w:lang w:bidi="ar-SA"/>
        </w:rPr>
        <w:t>metals</w:t>
      </w:r>
      <w:r w:rsidRPr="0017617B">
        <w:rPr>
          <w:lang w:bidi="ar-SA"/>
        </w:rPr>
        <w:t xml:space="preserve"> in wines</w:t>
      </w:r>
      <w:r w:rsidR="00D75CA5">
        <w:rPr>
          <w:lang w:bidi="ar-SA"/>
        </w:rPr>
        <w:t xml:space="preserve"> (</w:t>
      </w:r>
      <w:r w:rsidR="00D75CA5" w:rsidRPr="00D75CA5">
        <w:rPr>
          <w:lang w:bidi="ar-SA"/>
        </w:rPr>
        <w:t>M</w:t>
      </w:r>
      <w:r w:rsidR="00D75CA5">
        <w:rPr>
          <w:lang w:bidi="ar-SA"/>
        </w:rPr>
        <w:t>ira</w:t>
      </w:r>
      <w:r w:rsidR="00D75CA5" w:rsidRPr="00D75CA5">
        <w:rPr>
          <w:lang w:bidi="ar-SA"/>
        </w:rPr>
        <w:t xml:space="preserve"> H,</w:t>
      </w:r>
      <w:r w:rsidR="00D75CA5">
        <w:rPr>
          <w:lang w:bidi="ar-SA"/>
        </w:rPr>
        <w:t xml:space="preserve"> </w:t>
      </w:r>
      <w:r w:rsidR="009A7EE3">
        <w:rPr>
          <w:lang w:bidi="ar-SA"/>
        </w:rPr>
        <w:t>et al. 2007</w:t>
      </w:r>
      <w:r w:rsidR="00D75CA5">
        <w:rPr>
          <w:lang w:bidi="ar-SA"/>
        </w:rPr>
        <w:t>)</w:t>
      </w:r>
      <w:r w:rsidRPr="0017617B">
        <w:rPr>
          <w:lang w:bidi="ar-SA"/>
        </w:rPr>
        <w:t xml:space="preserve">. </w:t>
      </w:r>
      <w:r w:rsidR="00510517">
        <w:rPr>
          <w:lang w:bidi="ar-SA"/>
        </w:rPr>
        <w:t>T</w:t>
      </w:r>
      <w:r w:rsidR="00510517" w:rsidRPr="0017617B">
        <w:rPr>
          <w:lang w:bidi="ar-SA"/>
        </w:rPr>
        <w:t xml:space="preserve">he </w:t>
      </w:r>
      <w:r w:rsidR="002556D7" w:rsidRPr="0017617B">
        <w:rPr>
          <w:lang w:bidi="ar-SA"/>
        </w:rPr>
        <w:t>following were measured</w:t>
      </w:r>
      <w:r w:rsidRPr="0017617B">
        <w:rPr>
          <w:lang w:bidi="ar-SA"/>
        </w:rPr>
        <w:t>:</w:t>
      </w:r>
    </w:p>
    <w:p w14:paraId="703254ED" w14:textId="77777777" w:rsidR="00FE354D" w:rsidRPr="0017617B" w:rsidRDefault="00FE354D" w:rsidP="00BF54AD">
      <w:pPr>
        <w:widowControl/>
        <w:rPr>
          <w:lang w:bidi="ar-SA"/>
        </w:rPr>
      </w:pPr>
    </w:p>
    <w:p w14:paraId="55F0F2CB" w14:textId="77777777" w:rsidR="0021172C" w:rsidRPr="0017617B" w:rsidRDefault="0021172C" w:rsidP="0017617B">
      <w:pPr>
        <w:pStyle w:val="FSBullet1"/>
        <w:rPr>
          <w:rFonts w:eastAsia="Calibri"/>
        </w:rPr>
      </w:pPr>
      <w:r w:rsidRPr="0017617B">
        <w:rPr>
          <w:rFonts w:eastAsia="Calibri"/>
        </w:rPr>
        <w:t>copper (Cu)</w:t>
      </w:r>
    </w:p>
    <w:p w14:paraId="179F48C4" w14:textId="77777777" w:rsidR="0021172C" w:rsidRPr="0017617B" w:rsidRDefault="0021172C" w:rsidP="0017617B">
      <w:pPr>
        <w:pStyle w:val="FSBullet1"/>
        <w:rPr>
          <w:rFonts w:eastAsia="Calibri"/>
        </w:rPr>
      </w:pPr>
      <w:r w:rsidRPr="0017617B">
        <w:rPr>
          <w:rFonts w:eastAsia="Calibri"/>
        </w:rPr>
        <w:t>iron (Fe)</w:t>
      </w:r>
    </w:p>
    <w:p w14:paraId="54B733B6" w14:textId="77777777" w:rsidR="0021172C" w:rsidRPr="0017617B" w:rsidRDefault="0021172C" w:rsidP="0017617B">
      <w:pPr>
        <w:pStyle w:val="FSBullet1"/>
        <w:rPr>
          <w:rFonts w:eastAsia="Calibri"/>
        </w:rPr>
      </w:pPr>
      <w:r w:rsidRPr="0017617B">
        <w:rPr>
          <w:rFonts w:eastAsia="Calibri"/>
        </w:rPr>
        <w:t>lead (Pb)</w:t>
      </w:r>
    </w:p>
    <w:p w14:paraId="1347A2EA" w14:textId="77777777" w:rsidR="0021172C" w:rsidRPr="0017617B" w:rsidRDefault="0021172C" w:rsidP="0017617B">
      <w:pPr>
        <w:pStyle w:val="FSBullet1"/>
        <w:rPr>
          <w:rFonts w:eastAsia="Calibri"/>
        </w:rPr>
      </w:pPr>
      <w:r w:rsidRPr="0017617B">
        <w:rPr>
          <w:rFonts w:eastAsia="Calibri"/>
        </w:rPr>
        <w:t>cadmium (Cd)</w:t>
      </w:r>
    </w:p>
    <w:p w14:paraId="3E419DA9" w14:textId="77777777" w:rsidR="0021172C" w:rsidRPr="0017617B" w:rsidRDefault="0021172C" w:rsidP="0017617B">
      <w:pPr>
        <w:pStyle w:val="FSBullet1"/>
        <w:rPr>
          <w:rFonts w:eastAsia="Calibri"/>
        </w:rPr>
      </w:pPr>
      <w:r w:rsidRPr="0017617B">
        <w:rPr>
          <w:rFonts w:eastAsia="Calibri"/>
        </w:rPr>
        <w:t>aluminium (Al).</w:t>
      </w:r>
    </w:p>
    <w:p w14:paraId="764A2E23" w14:textId="77777777" w:rsidR="008F156A" w:rsidRPr="0017617B" w:rsidRDefault="008F156A" w:rsidP="00BF54AD">
      <w:pPr>
        <w:widowControl/>
        <w:rPr>
          <w:lang w:bidi="ar-SA"/>
        </w:rPr>
      </w:pPr>
    </w:p>
    <w:p w14:paraId="16D8FB70" w14:textId="77777777" w:rsidR="0021172C" w:rsidRPr="0017617B" w:rsidRDefault="0021172C" w:rsidP="00BF54AD">
      <w:pPr>
        <w:widowControl/>
        <w:rPr>
          <w:lang w:bidi="ar-SA"/>
        </w:rPr>
      </w:pPr>
      <w:r w:rsidRPr="0017617B">
        <w:rPr>
          <w:lang w:bidi="ar-SA"/>
        </w:rPr>
        <w:t>The removal of metals was shown to be</w:t>
      </w:r>
      <w:r w:rsidR="007C2C7B">
        <w:rPr>
          <w:lang w:bidi="ar-SA"/>
        </w:rPr>
        <w:t xml:space="preserve"> more effective</w:t>
      </w:r>
      <w:r w:rsidRPr="0017617B">
        <w:rPr>
          <w:lang w:bidi="ar-SA"/>
        </w:rPr>
        <w:t>:</w:t>
      </w:r>
    </w:p>
    <w:p w14:paraId="1D32C1F2" w14:textId="77777777" w:rsidR="008F156A" w:rsidRPr="0017617B" w:rsidRDefault="008F156A" w:rsidP="00BF54AD">
      <w:pPr>
        <w:widowControl/>
        <w:rPr>
          <w:lang w:bidi="ar-SA"/>
        </w:rPr>
      </w:pPr>
    </w:p>
    <w:p w14:paraId="3F47149D" w14:textId="77777777" w:rsidR="0021172C" w:rsidRPr="0017617B" w:rsidRDefault="0021172C" w:rsidP="0017617B">
      <w:pPr>
        <w:pStyle w:val="FSBullet1"/>
        <w:rPr>
          <w:rFonts w:eastAsia="Calibri"/>
        </w:rPr>
      </w:pPr>
      <w:r w:rsidRPr="0017617B">
        <w:rPr>
          <w:rFonts w:eastAsia="Calibri"/>
        </w:rPr>
        <w:t>when</w:t>
      </w:r>
      <w:r w:rsidR="00D11688" w:rsidRPr="0017617B">
        <w:rPr>
          <w:rFonts w:eastAsia="Calibri"/>
        </w:rPr>
        <w:t xml:space="preserve"> </w:t>
      </w:r>
      <w:r w:rsidRPr="0017617B">
        <w:rPr>
          <w:rFonts w:eastAsia="Calibri"/>
        </w:rPr>
        <w:t>PVI/PVP</w:t>
      </w:r>
      <w:r w:rsidR="00D11688" w:rsidRPr="0017617B">
        <w:rPr>
          <w:rFonts w:eastAsia="Calibri"/>
        </w:rPr>
        <w:t xml:space="preserve"> co-polymers</w:t>
      </w:r>
      <w:r w:rsidRPr="0017617B">
        <w:rPr>
          <w:rFonts w:eastAsia="Calibri"/>
        </w:rPr>
        <w:t xml:space="preserve"> w</w:t>
      </w:r>
      <w:r w:rsidR="00D11688" w:rsidRPr="0017617B">
        <w:rPr>
          <w:rFonts w:eastAsia="Calibri"/>
        </w:rPr>
        <w:t>ere</w:t>
      </w:r>
      <w:r w:rsidRPr="0017617B">
        <w:rPr>
          <w:rFonts w:eastAsia="Calibri"/>
        </w:rPr>
        <w:t xml:space="preserve"> applied to the wine than to the must</w:t>
      </w:r>
    </w:p>
    <w:p w14:paraId="24EEB19D" w14:textId="77777777" w:rsidR="0021172C" w:rsidRPr="0017617B" w:rsidRDefault="00E7407B" w:rsidP="0017617B">
      <w:pPr>
        <w:pStyle w:val="FSBullet1"/>
        <w:rPr>
          <w:rFonts w:eastAsia="Calibri"/>
        </w:rPr>
      </w:pPr>
      <w:r w:rsidRPr="0017617B">
        <w:rPr>
          <w:rFonts w:eastAsia="Calibri"/>
        </w:rPr>
        <w:t>in remova</w:t>
      </w:r>
      <w:r>
        <w:rPr>
          <w:rFonts w:eastAsia="Calibri"/>
        </w:rPr>
        <w:t xml:space="preserve">l of </w:t>
      </w:r>
      <w:r w:rsidR="0021172C" w:rsidRPr="0017617B">
        <w:rPr>
          <w:rFonts w:eastAsia="Calibri"/>
        </w:rPr>
        <w:t xml:space="preserve">Fe and Pb </w:t>
      </w:r>
      <w:r>
        <w:rPr>
          <w:rFonts w:eastAsia="Calibri"/>
        </w:rPr>
        <w:t>in</w:t>
      </w:r>
      <w:r w:rsidR="007C2C7B">
        <w:rPr>
          <w:rFonts w:eastAsia="Calibri"/>
        </w:rPr>
        <w:t xml:space="preserve"> </w:t>
      </w:r>
      <w:r w:rsidR="0021172C" w:rsidRPr="0017617B">
        <w:rPr>
          <w:rFonts w:eastAsia="Calibri"/>
        </w:rPr>
        <w:t>white wines than in red</w:t>
      </w:r>
    </w:p>
    <w:p w14:paraId="7420A10F" w14:textId="77777777" w:rsidR="0021172C" w:rsidRPr="0017617B" w:rsidRDefault="007C2C7B" w:rsidP="0017617B">
      <w:pPr>
        <w:pStyle w:val="FSBullet1"/>
        <w:rPr>
          <w:rFonts w:eastAsia="Calibri"/>
        </w:rPr>
      </w:pPr>
      <w:r>
        <w:rPr>
          <w:rFonts w:eastAsia="Calibri"/>
        </w:rPr>
        <w:t>in</w:t>
      </w:r>
      <w:r w:rsidRPr="0017617B">
        <w:rPr>
          <w:rFonts w:eastAsia="Calibri"/>
        </w:rPr>
        <w:t xml:space="preserve"> removal </w:t>
      </w:r>
      <w:r>
        <w:rPr>
          <w:rFonts w:eastAsia="Calibri"/>
        </w:rPr>
        <w:t xml:space="preserve">of </w:t>
      </w:r>
      <w:r w:rsidR="0021172C" w:rsidRPr="0017617B">
        <w:rPr>
          <w:rFonts w:eastAsia="Calibri"/>
        </w:rPr>
        <w:t>Cu and Al in red wines than in white</w:t>
      </w:r>
    </w:p>
    <w:p w14:paraId="22CFB22A" w14:textId="77777777" w:rsidR="0021172C" w:rsidRPr="0017617B" w:rsidRDefault="0021172C" w:rsidP="0017617B">
      <w:pPr>
        <w:pStyle w:val="FSBullet1"/>
        <w:rPr>
          <w:rFonts w:eastAsia="Calibri"/>
        </w:rPr>
      </w:pPr>
      <w:r w:rsidRPr="0017617B">
        <w:rPr>
          <w:rFonts w:eastAsia="Calibri"/>
        </w:rPr>
        <w:t>in general, the higher the PVI/PVP dose</w:t>
      </w:r>
      <w:r w:rsidR="00B906BD" w:rsidRPr="0017617B">
        <w:rPr>
          <w:rFonts w:eastAsia="Calibri"/>
        </w:rPr>
        <w:t xml:space="preserve"> </w:t>
      </w:r>
      <w:r w:rsidRPr="0017617B">
        <w:rPr>
          <w:rFonts w:eastAsia="Calibri"/>
        </w:rPr>
        <w:t>(fig</w:t>
      </w:r>
      <w:r w:rsidR="00B906BD" w:rsidRPr="0017617B">
        <w:rPr>
          <w:rFonts w:eastAsia="Calibri"/>
        </w:rPr>
        <w:t>ure</w:t>
      </w:r>
      <w:r w:rsidRPr="0017617B">
        <w:rPr>
          <w:rFonts w:eastAsia="Calibri"/>
        </w:rPr>
        <w:t xml:space="preserve"> 1)</w:t>
      </w:r>
      <w:r w:rsidR="00B906BD" w:rsidRPr="0017617B">
        <w:rPr>
          <w:rFonts w:eastAsia="Calibri"/>
        </w:rPr>
        <w:t>.</w:t>
      </w:r>
    </w:p>
    <w:p w14:paraId="14F2B686" w14:textId="77777777" w:rsidR="00EC5266" w:rsidRPr="0017617B" w:rsidRDefault="00EC5266" w:rsidP="002556D7">
      <w:pPr>
        <w:widowControl/>
        <w:ind w:left="1260"/>
        <w:contextualSpacing/>
        <w:rPr>
          <w:lang w:bidi="ar-SA"/>
        </w:rPr>
      </w:pPr>
    </w:p>
    <w:p w14:paraId="3E50EE2C" w14:textId="77777777" w:rsidR="00E10A94" w:rsidRDefault="0021172C" w:rsidP="00E10A94">
      <w:pPr>
        <w:widowControl/>
        <w:rPr>
          <w:lang w:bidi="ar-SA"/>
        </w:rPr>
      </w:pPr>
      <w:r w:rsidRPr="0017617B">
        <w:rPr>
          <w:lang w:bidi="ar-SA"/>
        </w:rPr>
        <w:t>In addition to metals removal,</w:t>
      </w:r>
      <w:r w:rsidR="00D11688" w:rsidRPr="0017617B">
        <w:rPr>
          <w:lang w:bidi="ar-SA"/>
        </w:rPr>
        <w:t xml:space="preserve"> the</w:t>
      </w:r>
      <w:r w:rsidRPr="0017617B">
        <w:rPr>
          <w:lang w:bidi="ar-SA"/>
        </w:rPr>
        <w:t xml:space="preserve"> PVI/PVP </w:t>
      </w:r>
      <w:r w:rsidR="00D11688" w:rsidRPr="0017617B">
        <w:rPr>
          <w:lang w:bidi="ar-SA"/>
        </w:rPr>
        <w:t>co-polymers</w:t>
      </w:r>
      <w:r w:rsidR="00D11688" w:rsidRPr="008C0160">
        <w:rPr>
          <w:lang w:bidi="ar-SA"/>
        </w:rPr>
        <w:t xml:space="preserve"> </w:t>
      </w:r>
      <w:r w:rsidRPr="0017617B">
        <w:rPr>
          <w:lang w:bidi="ar-SA"/>
        </w:rPr>
        <w:t xml:space="preserve">had no significant effect on phenolic composition. Consequently, varying the </w:t>
      </w:r>
      <w:r w:rsidR="004D4F1C">
        <w:rPr>
          <w:lang w:bidi="ar-SA"/>
        </w:rPr>
        <w:t>use concentration</w:t>
      </w:r>
      <w:r w:rsidRPr="0017617B">
        <w:rPr>
          <w:lang w:bidi="ar-SA"/>
        </w:rPr>
        <w:t xml:space="preserve"> did not significantly affect the wine’s sensory characteristics regardless of whether PVI/PVP </w:t>
      </w:r>
      <w:r w:rsidR="00D11688" w:rsidRPr="0017617B">
        <w:rPr>
          <w:lang w:bidi="ar-SA"/>
        </w:rPr>
        <w:t>co-polymers</w:t>
      </w:r>
      <w:r w:rsidR="00D11688" w:rsidRPr="008C0160">
        <w:rPr>
          <w:lang w:bidi="ar-SA"/>
        </w:rPr>
        <w:t xml:space="preserve"> </w:t>
      </w:r>
      <w:r w:rsidRPr="0017617B">
        <w:rPr>
          <w:lang w:bidi="ar-SA"/>
        </w:rPr>
        <w:t>w</w:t>
      </w:r>
      <w:r w:rsidR="00D11688" w:rsidRPr="0017617B">
        <w:rPr>
          <w:lang w:bidi="ar-SA"/>
        </w:rPr>
        <w:t>ere</w:t>
      </w:r>
      <w:r w:rsidRPr="0017617B">
        <w:rPr>
          <w:lang w:bidi="ar-SA"/>
        </w:rPr>
        <w:t xml:space="preserve"> added to the must or to the wine</w:t>
      </w:r>
      <w:r w:rsidR="005C710C" w:rsidRPr="005C710C">
        <w:t xml:space="preserve"> </w:t>
      </w:r>
      <w:r w:rsidR="005C710C">
        <w:t>(</w:t>
      </w:r>
      <w:r w:rsidR="005C710C" w:rsidRPr="005C710C">
        <w:rPr>
          <w:lang w:bidi="ar-SA"/>
        </w:rPr>
        <w:t>Ma</w:t>
      </w:r>
      <w:r w:rsidR="005C710C">
        <w:rPr>
          <w:lang w:bidi="ar-SA"/>
        </w:rPr>
        <w:t xml:space="preserve">ttivi </w:t>
      </w:r>
      <w:r w:rsidR="004D4F1C">
        <w:rPr>
          <w:lang w:bidi="ar-SA"/>
        </w:rPr>
        <w:t>et al</w:t>
      </w:r>
      <w:r w:rsidR="005C710C">
        <w:rPr>
          <w:lang w:bidi="ar-SA"/>
        </w:rPr>
        <w:t xml:space="preserve"> </w:t>
      </w:r>
      <w:r w:rsidR="005C710C" w:rsidRPr="005C710C">
        <w:rPr>
          <w:lang w:bidi="ar-SA"/>
        </w:rPr>
        <w:t>2000</w:t>
      </w:r>
      <w:r w:rsidR="001C2CF0">
        <w:rPr>
          <w:lang w:bidi="ar-SA"/>
        </w:rPr>
        <w:t>).</w:t>
      </w:r>
      <w:r w:rsidRPr="0017617B">
        <w:rPr>
          <w:lang w:bidi="ar-SA"/>
        </w:rPr>
        <w:t xml:space="preserve"> </w:t>
      </w:r>
    </w:p>
    <w:p w14:paraId="41CDF05E" w14:textId="77777777" w:rsidR="001C2CF0" w:rsidRPr="0017617B" w:rsidRDefault="001C2CF0" w:rsidP="00E10A94">
      <w:pPr>
        <w:widowControl/>
        <w:rPr>
          <w:lang w:bidi="ar-SA"/>
        </w:rPr>
      </w:pPr>
    </w:p>
    <w:p w14:paraId="148B0C96" w14:textId="77777777" w:rsidR="00E10A94" w:rsidRPr="0017617B" w:rsidRDefault="00E10A94" w:rsidP="00E10A94">
      <w:pPr>
        <w:widowControl/>
        <w:rPr>
          <w:lang w:bidi="ar-SA"/>
        </w:rPr>
      </w:pPr>
    </w:p>
    <w:p w14:paraId="356E8014" w14:textId="77777777" w:rsidR="0021172C" w:rsidRPr="008C0160" w:rsidRDefault="00794644" w:rsidP="0021172C">
      <w:pPr>
        <w:widowControl/>
        <w:ind w:left="567"/>
        <w:jc w:val="center"/>
        <w:rPr>
          <w:rFonts w:eastAsia="Calibri"/>
          <w:szCs w:val="22"/>
          <w:lang w:bidi="ar-SA"/>
        </w:rPr>
      </w:pPr>
      <w:r w:rsidRPr="009F4510">
        <w:rPr>
          <w:rFonts w:eastAsia="Calibri"/>
          <w:noProof/>
          <w:szCs w:val="22"/>
          <w:lang w:eastAsia="en-GB" w:bidi="ar-SA"/>
        </w:rPr>
        <w:lastRenderedPageBreak/>
        <mc:AlternateContent>
          <mc:Choice Requires="wps">
            <w:drawing>
              <wp:anchor distT="0" distB="0" distL="114300" distR="114300" simplePos="0" relativeHeight="251656192" behindDoc="0" locked="0" layoutInCell="1" allowOverlap="1" wp14:anchorId="4E550D4D" wp14:editId="3662955D">
                <wp:simplePos x="0" y="0"/>
                <wp:positionH relativeFrom="column">
                  <wp:posOffset>1572426</wp:posOffset>
                </wp:positionH>
                <wp:positionV relativeFrom="paragraph">
                  <wp:posOffset>2820780</wp:posOffset>
                </wp:positionV>
                <wp:extent cx="3267599" cy="389614"/>
                <wp:effectExtent l="0" t="0" r="28575" b="10795"/>
                <wp:wrapNone/>
                <wp:docPr id="9" name="Rectangle 9"/>
                <wp:cNvGraphicFramePr/>
                <a:graphic xmlns:a="http://schemas.openxmlformats.org/drawingml/2006/main">
                  <a:graphicData uri="http://schemas.microsoft.com/office/word/2010/wordprocessingShape">
                    <wps:wsp>
                      <wps:cNvSpPr/>
                      <wps:spPr>
                        <a:xfrm>
                          <a:off x="0" y="0"/>
                          <a:ext cx="3267599" cy="38961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298D54" w14:textId="77777777" w:rsidR="003F2385" w:rsidRPr="00794644" w:rsidRDefault="000E611C" w:rsidP="00794644">
                            <w:pPr>
                              <w:jc w:val="center"/>
                              <w:rPr>
                                <w:color w:val="000000" w:themeColor="text1"/>
                                <w:sz w:val="18"/>
                                <w:szCs w:val="18"/>
                                <w:lang w:val="en-AU"/>
                              </w:rPr>
                            </w:pPr>
                            <w:r>
                              <w:rPr>
                                <w:color w:val="000000" w:themeColor="text1"/>
                              </w:rPr>
                              <w:pict w14:anchorId="66696D19">
                                <v:shape id="_x0000_i1027" type="#_x0000_t75" style="width:12.25pt;height:12.9pt;visibility:visible;mso-wrap-style:square">
                                  <v:imagedata r:id="rId18" o:title="" cropbottom="16037f" cropleft="1f" cropright="16383f"/>
                                </v:shape>
                              </w:pict>
                            </w:r>
                            <w:r w:rsidR="003F2385" w:rsidRPr="00794644">
                              <w:rPr>
                                <w:color w:val="000000" w:themeColor="text1"/>
                                <w:sz w:val="18"/>
                                <w:szCs w:val="18"/>
                                <w:lang w:val="en-AU"/>
                              </w:rPr>
                              <w:t xml:space="preserve"> </w:t>
                            </w:r>
                            <w:r w:rsidR="003F2385" w:rsidRPr="00794644">
                              <w:rPr>
                                <w:color w:val="000000" w:themeColor="text1"/>
                                <w:sz w:val="20"/>
                                <w:szCs w:val="20"/>
                                <w:lang w:val="en-AU"/>
                              </w:rPr>
                              <w:t xml:space="preserve">Cd </w:t>
                            </w:r>
                            <w:r w:rsidR="003F2385">
                              <w:rPr>
                                <w:color w:val="000000" w:themeColor="text1"/>
                                <w:sz w:val="20"/>
                                <w:szCs w:val="20"/>
                                <w:lang w:val="en-AU"/>
                              </w:rPr>
                              <w:t>(</w:t>
                            </w:r>
                            <w:r w:rsidR="003F2385" w:rsidRPr="00794644">
                              <w:rPr>
                                <w:color w:val="000000" w:themeColor="text1"/>
                                <w:sz w:val="20"/>
                                <w:szCs w:val="20"/>
                                <w:lang w:val="en-AU"/>
                              </w:rPr>
                              <w:t xml:space="preserve">mg/L) </w:t>
                            </w:r>
                            <w:r w:rsidR="003F2385" w:rsidRPr="00794644">
                              <w:rPr>
                                <w:noProof/>
                                <w:color w:val="000000" w:themeColor="text1"/>
                                <w:sz w:val="20"/>
                                <w:szCs w:val="20"/>
                                <w:lang w:eastAsia="en-GB" w:bidi="ar-SA"/>
                              </w:rPr>
                              <w:drawing>
                                <wp:inline distT="0" distB="0" distL="0" distR="0" wp14:anchorId="194F4297" wp14:editId="788E954E">
                                  <wp:extent cx="143124" cy="17636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5250" cy="178986"/>
                                          </a:xfrm>
                                          <a:prstGeom prst="rect">
                                            <a:avLst/>
                                          </a:prstGeom>
                                        </pic:spPr>
                                      </pic:pic>
                                    </a:graphicData>
                                  </a:graphic>
                                </wp:inline>
                              </w:drawing>
                            </w:r>
                            <w:r w:rsidR="003F2385" w:rsidRPr="00794644">
                              <w:rPr>
                                <w:color w:val="000000" w:themeColor="text1"/>
                                <w:sz w:val="20"/>
                                <w:szCs w:val="20"/>
                                <w:lang w:val="en-AU"/>
                              </w:rPr>
                              <w:t xml:space="preserve"> Fe (mg/L)</w:t>
                            </w:r>
                            <w:r w:rsidR="003F2385" w:rsidRPr="00794644">
                              <w:rPr>
                                <w:noProof/>
                                <w:color w:val="000000" w:themeColor="text1"/>
                                <w:sz w:val="20"/>
                                <w:szCs w:val="20"/>
                                <w:lang w:val="en-NZ" w:eastAsia="en-NZ" w:bidi="ar-SA"/>
                              </w:rPr>
                              <w:t xml:space="preserve"> </w:t>
                            </w:r>
                            <w:r w:rsidR="003F2385" w:rsidRPr="00794644">
                              <w:rPr>
                                <w:noProof/>
                                <w:color w:val="000000" w:themeColor="text1"/>
                                <w:sz w:val="20"/>
                                <w:szCs w:val="20"/>
                                <w:lang w:eastAsia="en-GB" w:bidi="ar-SA"/>
                              </w:rPr>
                              <w:drawing>
                                <wp:inline distT="0" distB="0" distL="0" distR="0" wp14:anchorId="59D402F3" wp14:editId="227EE6AB">
                                  <wp:extent cx="203200" cy="198782"/>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9107" r="7272"/>
                                          <a:stretch/>
                                        </pic:blipFill>
                                        <pic:spPr bwMode="auto">
                                          <a:xfrm>
                                            <a:off x="0" y="0"/>
                                            <a:ext cx="217777" cy="213042"/>
                                          </a:xfrm>
                                          <a:prstGeom prst="rect">
                                            <a:avLst/>
                                          </a:prstGeom>
                                          <a:ln>
                                            <a:noFill/>
                                          </a:ln>
                                          <a:extLst>
                                            <a:ext uri="{53640926-AAD7-44D8-BBD7-CCE9431645EC}">
                                              <a14:shadowObscured xmlns:a14="http://schemas.microsoft.com/office/drawing/2010/main"/>
                                            </a:ext>
                                          </a:extLst>
                                        </pic:spPr>
                                      </pic:pic>
                                    </a:graphicData>
                                  </a:graphic>
                                </wp:inline>
                              </w:drawing>
                            </w:r>
                            <w:r w:rsidR="003F2385" w:rsidRPr="00794644">
                              <w:rPr>
                                <w:noProof/>
                                <w:color w:val="000000" w:themeColor="text1"/>
                                <w:sz w:val="20"/>
                                <w:szCs w:val="20"/>
                                <w:lang w:val="en-NZ" w:eastAsia="en-NZ" w:bidi="ar-SA"/>
                              </w:rPr>
                              <w:t>Pb (µg/L)</w:t>
                            </w:r>
                            <w:r w:rsidR="003F2385" w:rsidRPr="00794644">
                              <w:rPr>
                                <w:color w:val="000000" w:themeColor="text1"/>
                                <w:sz w:val="20"/>
                                <w:szCs w:val="20"/>
                                <w:lang w:val="en-AU"/>
                              </w:rPr>
                              <w:t xml:space="preserve"> </w:t>
                            </w:r>
                            <w:r w:rsidR="003F2385" w:rsidRPr="00794644">
                              <w:rPr>
                                <w:noProof/>
                                <w:color w:val="000000" w:themeColor="text1"/>
                                <w:sz w:val="20"/>
                                <w:szCs w:val="20"/>
                                <w:lang w:eastAsia="en-GB" w:bidi="ar-SA"/>
                              </w:rPr>
                              <w:drawing>
                                <wp:inline distT="0" distB="0" distL="0" distR="0" wp14:anchorId="7962BFDD" wp14:editId="2223D879">
                                  <wp:extent cx="159026" cy="19179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1" r="16522" b="-681"/>
                                          <a:stretch/>
                                        </pic:blipFill>
                                        <pic:spPr bwMode="auto">
                                          <a:xfrm>
                                            <a:off x="0" y="0"/>
                                            <a:ext cx="159026" cy="191797"/>
                                          </a:xfrm>
                                          <a:prstGeom prst="rect">
                                            <a:avLst/>
                                          </a:prstGeom>
                                          <a:ln>
                                            <a:noFill/>
                                          </a:ln>
                                          <a:extLst>
                                            <a:ext uri="{53640926-AAD7-44D8-BBD7-CCE9431645EC}">
                                              <a14:shadowObscured xmlns:a14="http://schemas.microsoft.com/office/drawing/2010/main"/>
                                            </a:ext>
                                          </a:extLst>
                                        </pic:spPr>
                                      </pic:pic>
                                    </a:graphicData>
                                  </a:graphic>
                                </wp:inline>
                              </w:drawing>
                            </w:r>
                            <w:r w:rsidR="003F2385">
                              <w:rPr>
                                <w:color w:val="000000" w:themeColor="text1"/>
                                <w:sz w:val="20"/>
                                <w:szCs w:val="20"/>
                                <w:lang w:val="en-AU"/>
                              </w:rPr>
                              <w:t xml:space="preserve"> </w:t>
                            </w:r>
                            <w:r w:rsidR="003F2385" w:rsidRPr="00794644">
                              <w:rPr>
                                <w:color w:val="000000" w:themeColor="text1"/>
                                <w:sz w:val="20"/>
                                <w:szCs w:val="20"/>
                                <w:lang w:val="en-AU"/>
                              </w:rPr>
                              <w:t>Al (</w:t>
                            </w:r>
                            <w:r w:rsidR="003F2385" w:rsidRPr="00794644">
                              <w:rPr>
                                <w:rFonts w:cs="Arial"/>
                                <w:color w:val="000000" w:themeColor="text1"/>
                                <w:sz w:val="20"/>
                                <w:szCs w:val="20"/>
                                <w:lang w:val="en-AU"/>
                              </w:rPr>
                              <w:t>µ</w:t>
                            </w:r>
                            <w:r w:rsidR="003F2385" w:rsidRPr="00794644">
                              <w:rPr>
                                <w:color w:val="000000" w:themeColor="text1"/>
                                <w:sz w:val="20"/>
                                <w:szCs w:val="20"/>
                                <w:lang w:val="en-AU"/>
                              </w:rPr>
                              <w:t>g/L)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50D4D" id="Rectangle 9" o:spid="_x0000_s1026" style="position:absolute;left:0;text-align:left;margin-left:123.8pt;margin-top:222.1pt;width:257.3pt;height:3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" fillcolor="white [3212]" strokecolor="white [3212]" strokeweight="2pt">
                <v:textbox>
                  <w:txbxContent>
                    <w:p w14:paraId="49298D54" w14:textId="77777777" w:rsidR="003F2385" w:rsidRPr="00794644" w:rsidRDefault="000E611C" w:rsidP="00794644">
                      <w:pPr>
                        <w:jc w:val="center"/>
                        <w:rPr>
                          <w:color w:val="000000" w:themeColor="text1"/>
                          <w:sz w:val="18"/>
                          <w:szCs w:val="18"/>
                          <w:lang w:val="en-AU"/>
                        </w:rPr>
                      </w:pPr>
                      <w:r>
                        <w:rPr>
                          <w:color w:val="000000" w:themeColor="text1"/>
                        </w:rPr>
                        <w:pict w14:anchorId="66696D19">
                          <v:shape id="_x0000_i1027" type="#_x0000_t75" style="width:12.25pt;height:12.9pt;visibility:visible;mso-wrap-style:square">
                            <v:imagedata r:id="rId18" o:title="" cropbottom="16037f" cropleft="1f" cropright="16383f"/>
                          </v:shape>
                        </w:pict>
                      </w:r>
                      <w:r w:rsidR="003F2385" w:rsidRPr="00794644">
                        <w:rPr>
                          <w:color w:val="000000" w:themeColor="text1"/>
                          <w:sz w:val="18"/>
                          <w:szCs w:val="18"/>
                          <w:lang w:val="en-AU"/>
                        </w:rPr>
                        <w:t xml:space="preserve"> </w:t>
                      </w:r>
                      <w:r w:rsidR="003F2385" w:rsidRPr="00794644">
                        <w:rPr>
                          <w:color w:val="000000" w:themeColor="text1"/>
                          <w:sz w:val="20"/>
                          <w:szCs w:val="20"/>
                          <w:lang w:val="en-AU"/>
                        </w:rPr>
                        <w:t xml:space="preserve">Cd </w:t>
                      </w:r>
                      <w:r w:rsidR="003F2385">
                        <w:rPr>
                          <w:color w:val="000000" w:themeColor="text1"/>
                          <w:sz w:val="20"/>
                          <w:szCs w:val="20"/>
                          <w:lang w:val="en-AU"/>
                        </w:rPr>
                        <w:t>(</w:t>
                      </w:r>
                      <w:r w:rsidR="003F2385" w:rsidRPr="00794644">
                        <w:rPr>
                          <w:color w:val="000000" w:themeColor="text1"/>
                          <w:sz w:val="20"/>
                          <w:szCs w:val="20"/>
                          <w:lang w:val="en-AU"/>
                        </w:rPr>
                        <w:t xml:space="preserve">mg/L) </w:t>
                      </w:r>
                      <w:r w:rsidR="003F2385" w:rsidRPr="00794644">
                        <w:rPr>
                          <w:noProof/>
                          <w:color w:val="000000" w:themeColor="text1"/>
                          <w:sz w:val="20"/>
                          <w:szCs w:val="20"/>
                          <w:lang w:eastAsia="en-GB" w:bidi="ar-SA"/>
                        </w:rPr>
                        <w:drawing>
                          <wp:inline distT="0" distB="0" distL="0" distR="0" wp14:anchorId="194F4297" wp14:editId="788E954E">
                            <wp:extent cx="143124" cy="17636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45250" cy="178986"/>
                                    </a:xfrm>
                                    <a:prstGeom prst="rect">
                                      <a:avLst/>
                                    </a:prstGeom>
                                  </pic:spPr>
                                </pic:pic>
                              </a:graphicData>
                            </a:graphic>
                          </wp:inline>
                        </w:drawing>
                      </w:r>
                      <w:r w:rsidR="003F2385" w:rsidRPr="00794644">
                        <w:rPr>
                          <w:color w:val="000000" w:themeColor="text1"/>
                          <w:sz w:val="20"/>
                          <w:szCs w:val="20"/>
                          <w:lang w:val="en-AU"/>
                        </w:rPr>
                        <w:t xml:space="preserve"> Fe (mg/L)</w:t>
                      </w:r>
                      <w:r w:rsidR="003F2385" w:rsidRPr="00794644">
                        <w:rPr>
                          <w:noProof/>
                          <w:color w:val="000000" w:themeColor="text1"/>
                          <w:sz w:val="20"/>
                          <w:szCs w:val="20"/>
                          <w:lang w:val="en-NZ" w:eastAsia="en-NZ" w:bidi="ar-SA"/>
                        </w:rPr>
                        <w:t xml:space="preserve"> </w:t>
                      </w:r>
                      <w:r w:rsidR="003F2385" w:rsidRPr="00794644">
                        <w:rPr>
                          <w:noProof/>
                          <w:color w:val="000000" w:themeColor="text1"/>
                          <w:sz w:val="20"/>
                          <w:szCs w:val="20"/>
                          <w:lang w:eastAsia="en-GB" w:bidi="ar-SA"/>
                        </w:rPr>
                        <w:drawing>
                          <wp:inline distT="0" distB="0" distL="0" distR="0" wp14:anchorId="59D402F3" wp14:editId="227EE6AB">
                            <wp:extent cx="203200" cy="198782"/>
                            <wp:effectExtent l="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9107" r="7272"/>
                                    <a:stretch/>
                                  </pic:blipFill>
                                  <pic:spPr bwMode="auto">
                                    <a:xfrm>
                                      <a:off x="0" y="0"/>
                                      <a:ext cx="217777" cy="213042"/>
                                    </a:xfrm>
                                    <a:prstGeom prst="rect">
                                      <a:avLst/>
                                    </a:prstGeom>
                                    <a:ln>
                                      <a:noFill/>
                                    </a:ln>
                                    <a:extLst>
                                      <a:ext uri="{53640926-AAD7-44D8-BBD7-CCE9431645EC}">
                                        <a14:shadowObscured xmlns:a14="http://schemas.microsoft.com/office/drawing/2010/main"/>
                                      </a:ext>
                                    </a:extLst>
                                  </pic:spPr>
                                </pic:pic>
                              </a:graphicData>
                            </a:graphic>
                          </wp:inline>
                        </w:drawing>
                      </w:r>
                      <w:r w:rsidR="003F2385" w:rsidRPr="00794644">
                        <w:rPr>
                          <w:noProof/>
                          <w:color w:val="000000" w:themeColor="text1"/>
                          <w:sz w:val="20"/>
                          <w:szCs w:val="20"/>
                          <w:lang w:val="en-NZ" w:eastAsia="en-NZ" w:bidi="ar-SA"/>
                        </w:rPr>
                        <w:t>Pb (µg/L)</w:t>
                      </w:r>
                      <w:r w:rsidR="003F2385" w:rsidRPr="00794644">
                        <w:rPr>
                          <w:color w:val="000000" w:themeColor="text1"/>
                          <w:sz w:val="20"/>
                          <w:szCs w:val="20"/>
                          <w:lang w:val="en-AU"/>
                        </w:rPr>
                        <w:t xml:space="preserve"> </w:t>
                      </w:r>
                      <w:r w:rsidR="003F2385" w:rsidRPr="00794644">
                        <w:rPr>
                          <w:noProof/>
                          <w:color w:val="000000" w:themeColor="text1"/>
                          <w:sz w:val="20"/>
                          <w:szCs w:val="20"/>
                          <w:lang w:eastAsia="en-GB" w:bidi="ar-SA"/>
                        </w:rPr>
                        <w:drawing>
                          <wp:inline distT="0" distB="0" distL="0" distR="0" wp14:anchorId="7962BFDD" wp14:editId="2223D879">
                            <wp:extent cx="159026" cy="19179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1" r="16522" b="-681"/>
                                    <a:stretch/>
                                  </pic:blipFill>
                                  <pic:spPr bwMode="auto">
                                    <a:xfrm>
                                      <a:off x="0" y="0"/>
                                      <a:ext cx="159026" cy="191797"/>
                                    </a:xfrm>
                                    <a:prstGeom prst="rect">
                                      <a:avLst/>
                                    </a:prstGeom>
                                    <a:ln>
                                      <a:noFill/>
                                    </a:ln>
                                    <a:extLst>
                                      <a:ext uri="{53640926-AAD7-44D8-BBD7-CCE9431645EC}">
                                        <a14:shadowObscured xmlns:a14="http://schemas.microsoft.com/office/drawing/2010/main"/>
                                      </a:ext>
                                    </a:extLst>
                                  </pic:spPr>
                                </pic:pic>
                              </a:graphicData>
                            </a:graphic>
                          </wp:inline>
                        </w:drawing>
                      </w:r>
                      <w:r w:rsidR="003F2385">
                        <w:rPr>
                          <w:color w:val="000000" w:themeColor="text1"/>
                          <w:sz w:val="20"/>
                          <w:szCs w:val="20"/>
                          <w:lang w:val="en-AU"/>
                        </w:rPr>
                        <w:t xml:space="preserve"> </w:t>
                      </w:r>
                      <w:r w:rsidR="003F2385" w:rsidRPr="00794644">
                        <w:rPr>
                          <w:color w:val="000000" w:themeColor="text1"/>
                          <w:sz w:val="20"/>
                          <w:szCs w:val="20"/>
                          <w:lang w:val="en-AU"/>
                        </w:rPr>
                        <w:t>Al (</w:t>
                      </w:r>
                      <w:r w:rsidR="003F2385" w:rsidRPr="00794644">
                        <w:rPr>
                          <w:rFonts w:cs="Arial"/>
                          <w:color w:val="000000" w:themeColor="text1"/>
                          <w:sz w:val="20"/>
                          <w:szCs w:val="20"/>
                          <w:lang w:val="en-AU"/>
                        </w:rPr>
                        <w:t>µ</w:t>
                      </w:r>
                      <w:r w:rsidR="003F2385" w:rsidRPr="00794644">
                        <w:rPr>
                          <w:color w:val="000000" w:themeColor="text1"/>
                          <w:sz w:val="20"/>
                          <w:szCs w:val="20"/>
                          <w:lang w:val="en-AU"/>
                        </w:rPr>
                        <w:t>g/L)</w:t>
                      </w:r>
                    </w:p>
                  </w:txbxContent>
                </v:textbox>
              </v:rect>
            </w:pict>
          </mc:Fallback>
        </mc:AlternateContent>
      </w:r>
      <w:r w:rsidR="0021172C" w:rsidRPr="009F4510">
        <w:rPr>
          <w:rFonts w:eastAsia="Calibri"/>
          <w:noProof/>
          <w:szCs w:val="22"/>
          <w:lang w:eastAsia="en-GB" w:bidi="ar-SA"/>
        </w:rPr>
        <w:drawing>
          <wp:inline distT="0" distB="0" distL="0" distR="0" wp14:anchorId="7755C9DC" wp14:editId="70AA2073">
            <wp:extent cx="5153025" cy="3235745"/>
            <wp:effectExtent l="19050" t="19050" r="9525" b="22225"/>
            <wp:docPr id="7" name="Picture 7" title="Percentage removal of metals by PVI/PVP co-poly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a:srcRect l="2322" r="4098"/>
                    <a:stretch/>
                  </pic:blipFill>
                  <pic:spPr bwMode="auto">
                    <a:xfrm>
                      <a:off x="0" y="0"/>
                      <a:ext cx="5153025" cy="3235745"/>
                    </a:xfrm>
                    <a:prstGeom prst="rect">
                      <a:avLst/>
                    </a:prstGeom>
                    <a:ln w="6350">
                      <a:solidFill>
                        <a:schemeClr val="tx1"/>
                      </a:solidFill>
                    </a:ln>
                    <a:extLst>
                      <a:ext uri="{53640926-AAD7-44D8-BBD7-CCE9431645EC}">
                        <a14:shadowObscured xmlns:a14="http://schemas.microsoft.com/office/drawing/2010/main"/>
                      </a:ext>
                    </a:extLst>
                  </pic:spPr>
                </pic:pic>
              </a:graphicData>
            </a:graphic>
          </wp:inline>
        </w:drawing>
      </w:r>
    </w:p>
    <w:p w14:paraId="5F20B444" w14:textId="77777777" w:rsidR="00FA6105" w:rsidRPr="0017617B" w:rsidRDefault="00FA6105" w:rsidP="00EC5266">
      <w:pPr>
        <w:widowControl/>
        <w:rPr>
          <w:lang w:bidi="ar-SA"/>
        </w:rPr>
      </w:pPr>
    </w:p>
    <w:p w14:paraId="04B08EFD" w14:textId="77777777" w:rsidR="00FE354D" w:rsidRPr="0017617B" w:rsidRDefault="00FE354D" w:rsidP="0017617B">
      <w:pPr>
        <w:widowControl/>
        <w:jc w:val="center"/>
        <w:rPr>
          <w:bCs/>
          <w:i/>
          <w:iCs/>
          <w:szCs w:val="22"/>
          <w:lang w:bidi="ar-SA"/>
        </w:rPr>
      </w:pPr>
      <w:r w:rsidRPr="0017617B">
        <w:rPr>
          <w:bCs/>
          <w:i/>
          <w:iCs/>
          <w:szCs w:val="22"/>
          <w:lang w:bidi="ar-SA"/>
        </w:rPr>
        <w:t>Figure 1. Percentage removal of metals (metal addition A: 5 mg/m</w:t>
      </w:r>
      <w:r w:rsidR="006073F1">
        <w:rPr>
          <w:bCs/>
          <w:i/>
          <w:iCs/>
          <w:szCs w:val="22"/>
          <w:lang w:bidi="ar-SA"/>
        </w:rPr>
        <w:t>L</w:t>
      </w:r>
      <w:r w:rsidRPr="0017617B">
        <w:rPr>
          <w:bCs/>
          <w:i/>
          <w:iCs/>
          <w:szCs w:val="22"/>
          <w:lang w:bidi="ar-SA"/>
        </w:rPr>
        <w:t xml:space="preserve"> of iron and 0.5 mg/m</w:t>
      </w:r>
      <w:r w:rsidR="006073F1">
        <w:rPr>
          <w:bCs/>
          <w:i/>
          <w:iCs/>
          <w:szCs w:val="22"/>
          <w:lang w:bidi="ar-SA"/>
        </w:rPr>
        <w:t>L</w:t>
      </w:r>
      <w:r w:rsidRPr="0017617B">
        <w:rPr>
          <w:bCs/>
          <w:i/>
          <w:iCs/>
          <w:szCs w:val="22"/>
          <w:lang w:bidi="ar-SA"/>
        </w:rPr>
        <w:t xml:space="preserve"> of copper; metal addition B: 15 mg/m</w:t>
      </w:r>
      <w:r w:rsidR="006073F1">
        <w:rPr>
          <w:bCs/>
          <w:i/>
          <w:iCs/>
          <w:szCs w:val="22"/>
          <w:lang w:bidi="ar-SA"/>
        </w:rPr>
        <w:t>L</w:t>
      </w:r>
      <w:r w:rsidRPr="0017617B">
        <w:rPr>
          <w:bCs/>
          <w:i/>
          <w:iCs/>
          <w:szCs w:val="22"/>
          <w:lang w:bidi="ar-SA"/>
        </w:rPr>
        <w:t xml:space="preserve"> of Fe and 1 mg/m</w:t>
      </w:r>
      <w:r w:rsidR="006073F1">
        <w:rPr>
          <w:bCs/>
          <w:i/>
          <w:iCs/>
          <w:szCs w:val="22"/>
          <w:lang w:bidi="ar-SA"/>
        </w:rPr>
        <w:t>L</w:t>
      </w:r>
      <w:r w:rsidRPr="0017617B">
        <w:rPr>
          <w:bCs/>
          <w:i/>
          <w:iCs/>
          <w:szCs w:val="22"/>
          <w:lang w:bidi="ar-SA"/>
        </w:rPr>
        <w:t xml:space="preserve"> of copper)</w:t>
      </w:r>
      <w:r w:rsidRPr="0017617B">
        <w:rPr>
          <w:rFonts w:eastAsia="Calibri"/>
          <w:i/>
          <w:szCs w:val="22"/>
          <w:lang w:bidi="ar-SA"/>
        </w:rPr>
        <w:t xml:space="preserve"> by PVI/PVP </w:t>
      </w:r>
      <w:r w:rsidRPr="0017617B">
        <w:rPr>
          <w:bCs/>
          <w:i/>
          <w:iCs/>
          <w:szCs w:val="22"/>
          <w:lang w:bidi="ar-SA"/>
        </w:rPr>
        <w:t>co-polymers</w:t>
      </w:r>
    </w:p>
    <w:p w14:paraId="046A442C" w14:textId="77777777" w:rsidR="00FE354D" w:rsidRPr="0017617B" w:rsidRDefault="00FE354D" w:rsidP="00EC5266">
      <w:pPr>
        <w:widowControl/>
        <w:rPr>
          <w:lang w:bidi="ar-SA"/>
        </w:rPr>
      </w:pPr>
    </w:p>
    <w:p w14:paraId="7BC611AA" w14:textId="77777777" w:rsidR="0021172C" w:rsidRPr="0017617B" w:rsidRDefault="0021172C" w:rsidP="00EC5266">
      <w:pPr>
        <w:widowControl/>
        <w:rPr>
          <w:rFonts w:eastAsia="Calibri"/>
          <w:szCs w:val="22"/>
          <w:lang w:bidi="ar-SA"/>
        </w:rPr>
      </w:pPr>
      <w:r w:rsidRPr="0017617B">
        <w:rPr>
          <w:lang w:bidi="ar-SA"/>
        </w:rPr>
        <w:t xml:space="preserve">PVI/PVP </w:t>
      </w:r>
      <w:r w:rsidR="00370D52" w:rsidRPr="0017617B">
        <w:rPr>
          <w:lang w:bidi="ar-SA"/>
        </w:rPr>
        <w:t>co-polymers</w:t>
      </w:r>
      <w:r w:rsidRPr="0017617B">
        <w:rPr>
          <w:lang w:bidi="ar-SA"/>
        </w:rPr>
        <w:t xml:space="preserve"> meet the criteria of performing a technological purpose of a processing aid</w:t>
      </w:r>
      <w:r w:rsidR="00EC5266" w:rsidRPr="0017617B">
        <w:rPr>
          <w:lang w:bidi="ar-SA"/>
        </w:rPr>
        <w:t>,</w:t>
      </w:r>
      <w:r w:rsidRPr="0017617B">
        <w:rPr>
          <w:lang w:bidi="ar-SA"/>
        </w:rPr>
        <w:t xml:space="preserve"> </w:t>
      </w:r>
      <w:r w:rsidR="00EC5266" w:rsidRPr="0017617B">
        <w:rPr>
          <w:lang w:bidi="ar-SA"/>
        </w:rPr>
        <w:t>such that</w:t>
      </w:r>
      <w:r w:rsidRPr="0017617B">
        <w:rPr>
          <w:lang w:bidi="ar-SA"/>
        </w:rPr>
        <w:t xml:space="preserve"> they are used in the course of processing but do not perform a technological purpose in the final food. The precipitates formed by PVI/PVP </w:t>
      </w:r>
      <w:r w:rsidR="00370D52" w:rsidRPr="0017617B">
        <w:rPr>
          <w:lang w:bidi="ar-SA"/>
        </w:rPr>
        <w:t>co-polymers</w:t>
      </w:r>
      <w:r w:rsidRPr="0017617B">
        <w:rPr>
          <w:lang w:bidi="ar-SA"/>
        </w:rPr>
        <w:t xml:space="preserve"> are removed from the wine by physical separation processes such as racking, centrifugation and/or filtration.</w:t>
      </w:r>
    </w:p>
    <w:p w14:paraId="78A0A41C" w14:textId="77777777" w:rsidR="0021172C" w:rsidRPr="008C0160" w:rsidRDefault="00003031" w:rsidP="0017617B">
      <w:pPr>
        <w:pStyle w:val="Heading3"/>
      </w:pPr>
      <w:bookmarkStart w:id="112" w:name="_Toc472668698"/>
      <w:bookmarkStart w:id="113" w:name="_Toc476908588"/>
      <w:bookmarkStart w:id="114" w:name="_Toc478375809"/>
      <w:r w:rsidRPr="008C0160">
        <w:lastRenderedPageBreak/>
        <w:t>2.3</w:t>
      </w:r>
      <w:r w:rsidRPr="008C0160">
        <w:tab/>
      </w:r>
      <w:r w:rsidR="0021172C" w:rsidRPr="008C0160">
        <w:t>Chemical properties</w:t>
      </w:r>
      <w:bookmarkEnd w:id="112"/>
      <w:bookmarkEnd w:id="113"/>
      <w:bookmarkEnd w:id="114"/>
    </w:p>
    <w:tbl>
      <w:tblPr>
        <w:tblStyle w:val="TableGrid2"/>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hemical properies for PVI/PVP"/>
      </w:tblPr>
      <w:tblGrid>
        <w:gridCol w:w="2890"/>
        <w:gridCol w:w="6182"/>
      </w:tblGrid>
      <w:tr w:rsidR="0021172C" w:rsidRPr="008C0160" w14:paraId="49781076" w14:textId="77777777" w:rsidTr="00FA6105">
        <w:trPr>
          <w:trHeight w:val="1012"/>
          <w:tblHeader/>
        </w:trPr>
        <w:tc>
          <w:tcPr>
            <w:tcW w:w="2890" w:type="dxa"/>
          </w:tcPr>
          <w:p w14:paraId="45C4C207" w14:textId="77777777" w:rsidR="0021172C" w:rsidRPr="0017617B" w:rsidRDefault="0021172C" w:rsidP="0021172C">
            <w:pPr>
              <w:keepNext/>
              <w:widowControl/>
              <w:spacing w:before="240" w:after="240"/>
              <w:ind w:left="851" w:hanging="851"/>
              <w:outlineLvl w:val="3"/>
              <w:rPr>
                <w:bCs/>
                <w:i/>
                <w:iCs/>
                <w:szCs w:val="22"/>
                <w:lang w:val="en-GB" w:bidi="ar-SA"/>
              </w:rPr>
            </w:pPr>
            <w:r w:rsidRPr="008C0160">
              <w:rPr>
                <w:bCs/>
                <w:i/>
                <w:iCs/>
                <w:szCs w:val="22"/>
                <w:lang w:bidi="ar-SA"/>
              </w:rPr>
              <w:t>Description</w:t>
            </w:r>
          </w:p>
        </w:tc>
        <w:tc>
          <w:tcPr>
            <w:tcW w:w="6182" w:type="dxa"/>
          </w:tcPr>
          <w:p w14:paraId="28546A20" w14:textId="77777777" w:rsidR="0021172C" w:rsidRPr="0017617B" w:rsidRDefault="0021172C" w:rsidP="00063538">
            <w:pPr>
              <w:keepNext/>
              <w:widowControl/>
              <w:spacing w:before="240" w:after="240"/>
              <w:outlineLvl w:val="3"/>
              <w:rPr>
                <w:bCs/>
                <w:iCs/>
                <w:szCs w:val="22"/>
                <w:lang w:val="en-GB" w:bidi="ar-SA"/>
              </w:rPr>
            </w:pPr>
            <w:r w:rsidRPr="00AB6B8B">
              <w:rPr>
                <w:szCs w:val="22"/>
                <w:lang w:bidi="ar-SA"/>
              </w:rPr>
              <w:t>PVI/PVP consists of</w:t>
            </w:r>
            <w:r w:rsidRPr="00AB6B8B" w:rsidDel="00F63FB1">
              <w:rPr>
                <w:szCs w:val="22"/>
                <w:lang w:bidi="ar-SA"/>
              </w:rPr>
              <w:t xml:space="preserve"> </w:t>
            </w:r>
            <w:r w:rsidRPr="00AB6B8B">
              <w:rPr>
                <w:szCs w:val="22"/>
                <w:lang w:bidi="ar-SA"/>
              </w:rPr>
              <w:t xml:space="preserve">two separate monomers </w:t>
            </w:r>
            <w:r w:rsidR="0017617B" w:rsidRPr="00AB6B8B">
              <w:rPr>
                <w:szCs w:val="22"/>
                <w:lang w:bidi="ar-SA"/>
              </w:rPr>
              <w:t>cross-linked</w:t>
            </w:r>
            <w:r w:rsidRPr="00AB6B8B">
              <w:rPr>
                <w:szCs w:val="22"/>
                <w:lang w:bidi="ar-SA"/>
              </w:rPr>
              <w:t xml:space="preserve"> to form a three-dimensional network known as “adsorbent PVI/PVP </w:t>
            </w:r>
            <w:r w:rsidR="00370D52" w:rsidRPr="00AB6B8B">
              <w:rPr>
                <w:szCs w:val="22"/>
                <w:lang w:bidi="ar-SA"/>
              </w:rPr>
              <w:t>co-polymers</w:t>
            </w:r>
            <w:r w:rsidRPr="00AB6B8B">
              <w:rPr>
                <w:szCs w:val="22"/>
                <w:lang w:bidi="ar-SA"/>
              </w:rPr>
              <w:t xml:space="preserve">” or “PVI/PVP </w:t>
            </w:r>
            <w:r w:rsidR="00370D52" w:rsidRPr="00AB6B8B">
              <w:rPr>
                <w:szCs w:val="22"/>
                <w:lang w:bidi="ar-SA"/>
              </w:rPr>
              <w:t>co-polymers</w:t>
            </w:r>
            <w:r w:rsidRPr="00AB6B8B">
              <w:rPr>
                <w:szCs w:val="22"/>
                <w:lang w:bidi="ar-SA"/>
              </w:rPr>
              <w:t>”. They are slightly-hygroscopic powders, insoluble in alcohol</w:t>
            </w:r>
            <w:r w:rsidR="00063538" w:rsidRPr="00AB6B8B">
              <w:rPr>
                <w:szCs w:val="22"/>
                <w:lang w:bidi="ar-SA"/>
              </w:rPr>
              <w:t xml:space="preserve">, water and in most other liquids </w:t>
            </w:r>
            <w:r w:rsidRPr="00AB6B8B">
              <w:rPr>
                <w:szCs w:val="22"/>
                <w:lang w:bidi="ar-SA"/>
              </w:rPr>
              <w:t>and act as fining agents in wines</w:t>
            </w:r>
          </w:p>
        </w:tc>
      </w:tr>
      <w:tr w:rsidR="0021172C" w:rsidRPr="008C0160" w14:paraId="4AEBCAAD" w14:textId="77777777" w:rsidTr="00FA6105">
        <w:trPr>
          <w:trHeight w:val="1012"/>
        </w:trPr>
        <w:tc>
          <w:tcPr>
            <w:tcW w:w="2890" w:type="dxa"/>
          </w:tcPr>
          <w:p w14:paraId="1E1C599C" w14:textId="77777777" w:rsidR="0021172C" w:rsidRPr="0017617B" w:rsidRDefault="0021172C" w:rsidP="0021172C">
            <w:pPr>
              <w:keepNext/>
              <w:widowControl/>
              <w:spacing w:before="240" w:after="240"/>
              <w:ind w:left="851" w:hanging="851"/>
              <w:outlineLvl w:val="3"/>
              <w:rPr>
                <w:bCs/>
                <w:i/>
                <w:iCs/>
                <w:szCs w:val="22"/>
                <w:lang w:val="en-GB" w:bidi="ar-SA"/>
              </w:rPr>
            </w:pPr>
            <w:r w:rsidRPr="008C0160">
              <w:rPr>
                <w:bCs/>
                <w:i/>
                <w:iCs/>
                <w:szCs w:val="22"/>
                <w:lang w:bidi="ar-SA"/>
              </w:rPr>
              <w:t>Chemical name:</w:t>
            </w:r>
          </w:p>
        </w:tc>
        <w:tc>
          <w:tcPr>
            <w:tcW w:w="6182" w:type="dxa"/>
          </w:tcPr>
          <w:p w14:paraId="40A667E0" w14:textId="77777777" w:rsidR="0021172C" w:rsidRPr="0017617B" w:rsidRDefault="0021172C" w:rsidP="0021172C">
            <w:pPr>
              <w:keepNext/>
              <w:widowControl/>
              <w:spacing w:before="240" w:after="240"/>
              <w:outlineLvl w:val="3"/>
              <w:rPr>
                <w:bCs/>
                <w:iCs/>
                <w:szCs w:val="22"/>
                <w:lang w:val="en-GB" w:bidi="ar-SA"/>
              </w:rPr>
            </w:pPr>
            <w:r w:rsidRPr="00AB6B8B">
              <w:rPr>
                <w:szCs w:val="22"/>
                <w:lang w:bidi="ar-SA"/>
              </w:rPr>
              <w:t xml:space="preserve">Polyvinylimidazole-polyvinylpyrrolidone </w:t>
            </w:r>
            <w:r w:rsidR="00370D52" w:rsidRPr="00AB6B8B">
              <w:rPr>
                <w:szCs w:val="22"/>
                <w:lang w:bidi="ar-SA"/>
              </w:rPr>
              <w:t>co-polymers</w:t>
            </w:r>
            <w:r w:rsidRPr="00AB6B8B">
              <w:rPr>
                <w:szCs w:val="22"/>
                <w:lang w:bidi="ar-SA"/>
              </w:rPr>
              <w:t xml:space="preserve"> (PVI/PVP </w:t>
            </w:r>
            <w:r w:rsidR="00370D52" w:rsidRPr="00AB6B8B">
              <w:rPr>
                <w:szCs w:val="22"/>
                <w:lang w:bidi="ar-SA"/>
              </w:rPr>
              <w:t>co-polymers</w:t>
            </w:r>
            <w:r w:rsidRPr="00AB6B8B">
              <w:rPr>
                <w:szCs w:val="22"/>
                <w:lang w:bidi="ar-SA"/>
              </w:rPr>
              <w:t xml:space="preserve">) </w:t>
            </w:r>
          </w:p>
        </w:tc>
      </w:tr>
      <w:tr w:rsidR="0021172C" w:rsidRPr="008C0160" w14:paraId="33902373" w14:textId="77777777" w:rsidTr="00FA6105">
        <w:trPr>
          <w:trHeight w:val="604"/>
        </w:trPr>
        <w:tc>
          <w:tcPr>
            <w:tcW w:w="2890" w:type="dxa"/>
          </w:tcPr>
          <w:p w14:paraId="52CB2191" w14:textId="77777777" w:rsidR="0021172C" w:rsidRPr="0017617B" w:rsidRDefault="0021172C" w:rsidP="0021172C">
            <w:pPr>
              <w:keepNext/>
              <w:widowControl/>
              <w:spacing w:before="240" w:after="240"/>
              <w:outlineLvl w:val="3"/>
              <w:rPr>
                <w:bCs/>
                <w:i/>
                <w:iCs/>
                <w:szCs w:val="22"/>
                <w:lang w:val="en-GB" w:bidi="ar-SA"/>
              </w:rPr>
            </w:pPr>
            <w:r w:rsidRPr="008C0160">
              <w:rPr>
                <w:bCs/>
                <w:i/>
                <w:iCs/>
                <w:szCs w:val="22"/>
                <w:lang w:bidi="ar-SA"/>
              </w:rPr>
              <w:t>Common names:</w:t>
            </w:r>
          </w:p>
        </w:tc>
        <w:tc>
          <w:tcPr>
            <w:tcW w:w="6182" w:type="dxa"/>
          </w:tcPr>
          <w:p w14:paraId="55D3A5E5" w14:textId="77777777" w:rsidR="0021172C" w:rsidRPr="0017617B" w:rsidRDefault="0021172C" w:rsidP="0021172C">
            <w:pPr>
              <w:keepNext/>
              <w:widowControl/>
              <w:spacing w:before="240" w:after="240"/>
              <w:outlineLvl w:val="3"/>
              <w:rPr>
                <w:bCs/>
                <w:iCs/>
                <w:szCs w:val="22"/>
                <w:lang w:val="en-GB" w:bidi="ar-SA"/>
              </w:rPr>
            </w:pPr>
            <w:r w:rsidRPr="00AB6B8B">
              <w:rPr>
                <w:szCs w:val="22"/>
                <w:lang w:bidi="ar-SA"/>
              </w:rPr>
              <w:t>Terpolymer of 1-vinylimidazole, 1-vinylpyrrolidone, and 1,3-divinylimidazolidinone. Cross-linked copolymer of vinylimidazole/vinylpyrrolidone</w:t>
            </w:r>
          </w:p>
        </w:tc>
      </w:tr>
      <w:tr w:rsidR="0021172C" w:rsidRPr="008C0160" w14:paraId="035A8806" w14:textId="77777777" w:rsidTr="00FA6105">
        <w:tc>
          <w:tcPr>
            <w:tcW w:w="2890" w:type="dxa"/>
          </w:tcPr>
          <w:p w14:paraId="3BACC3C7" w14:textId="77777777" w:rsidR="0021172C" w:rsidRPr="0017617B" w:rsidRDefault="0021172C" w:rsidP="0021172C">
            <w:pPr>
              <w:keepNext/>
              <w:widowControl/>
              <w:spacing w:before="240" w:after="240"/>
              <w:outlineLvl w:val="3"/>
              <w:rPr>
                <w:bCs/>
                <w:i/>
                <w:iCs/>
                <w:szCs w:val="22"/>
                <w:lang w:val="en-GB" w:bidi="ar-SA"/>
              </w:rPr>
            </w:pPr>
            <w:r w:rsidRPr="008C0160">
              <w:rPr>
                <w:bCs/>
                <w:i/>
                <w:iCs/>
                <w:szCs w:val="22"/>
                <w:lang w:bidi="ar-SA"/>
              </w:rPr>
              <w:t>CAS registry number:</w:t>
            </w:r>
          </w:p>
          <w:p w14:paraId="6DDF6A54" w14:textId="77777777" w:rsidR="0021172C" w:rsidRPr="0017617B" w:rsidRDefault="0021172C" w:rsidP="0021172C">
            <w:pPr>
              <w:widowControl/>
              <w:rPr>
                <w:szCs w:val="22"/>
                <w:lang w:val="en-GB" w:bidi="ar-SA"/>
              </w:rPr>
            </w:pPr>
            <w:r w:rsidRPr="008C0160">
              <w:rPr>
                <w:szCs w:val="22"/>
                <w:lang w:bidi="ar-SA"/>
              </w:rPr>
              <w:t>(individual monomers)</w:t>
            </w:r>
          </w:p>
        </w:tc>
        <w:tc>
          <w:tcPr>
            <w:tcW w:w="6182" w:type="dxa"/>
          </w:tcPr>
          <w:p w14:paraId="2EFF0BD5" w14:textId="77777777" w:rsidR="0021172C" w:rsidRPr="0017617B" w:rsidRDefault="0021172C" w:rsidP="0021172C">
            <w:pPr>
              <w:keepNext/>
              <w:widowControl/>
              <w:spacing w:before="240" w:after="240"/>
              <w:outlineLvl w:val="3"/>
              <w:rPr>
                <w:bCs/>
                <w:iCs/>
                <w:szCs w:val="22"/>
                <w:lang w:val="en-GB" w:bidi="ar-SA"/>
              </w:rPr>
            </w:pPr>
            <w:r w:rsidRPr="00AB6B8B">
              <w:rPr>
                <w:szCs w:val="22"/>
                <w:lang w:bidi="ar-SA"/>
              </w:rPr>
              <w:t>N-vinylimidazole (1072-63-5)</w:t>
            </w:r>
          </w:p>
          <w:p w14:paraId="0975B2D7" w14:textId="77777777" w:rsidR="0021172C" w:rsidRPr="0017617B" w:rsidRDefault="0021172C" w:rsidP="0021172C">
            <w:pPr>
              <w:keepNext/>
              <w:widowControl/>
              <w:spacing w:before="240" w:after="240"/>
              <w:outlineLvl w:val="3"/>
              <w:rPr>
                <w:bCs/>
                <w:iCs/>
                <w:szCs w:val="22"/>
                <w:lang w:val="en-GB" w:bidi="ar-SA"/>
              </w:rPr>
            </w:pPr>
            <w:r w:rsidRPr="00AB6B8B">
              <w:rPr>
                <w:szCs w:val="22"/>
                <w:lang w:bidi="ar-SA"/>
              </w:rPr>
              <w:t>N-vinyl-2-pyrrolidone (88-12-0)</w:t>
            </w:r>
          </w:p>
        </w:tc>
      </w:tr>
      <w:tr w:rsidR="0021172C" w:rsidRPr="008C0160" w14:paraId="4E0A8DE1" w14:textId="77777777" w:rsidTr="00FA6105">
        <w:tc>
          <w:tcPr>
            <w:tcW w:w="2890" w:type="dxa"/>
          </w:tcPr>
          <w:p w14:paraId="4320FE35" w14:textId="77777777" w:rsidR="0021172C" w:rsidRPr="0017617B" w:rsidRDefault="0021172C" w:rsidP="0021172C">
            <w:pPr>
              <w:keepNext/>
              <w:widowControl/>
              <w:spacing w:before="240" w:after="240"/>
              <w:outlineLvl w:val="3"/>
              <w:rPr>
                <w:bCs/>
                <w:i/>
                <w:iCs/>
                <w:szCs w:val="22"/>
                <w:lang w:val="en-GB" w:bidi="ar-SA"/>
              </w:rPr>
            </w:pPr>
            <w:r w:rsidRPr="008C0160">
              <w:rPr>
                <w:bCs/>
                <w:i/>
                <w:iCs/>
                <w:szCs w:val="22"/>
                <w:lang w:bidi="ar-SA"/>
              </w:rPr>
              <w:t>Chemical formula:</w:t>
            </w:r>
          </w:p>
          <w:p w14:paraId="63C521A6" w14:textId="77777777" w:rsidR="0021172C" w:rsidRPr="0017617B" w:rsidRDefault="0021172C" w:rsidP="0021172C">
            <w:pPr>
              <w:widowControl/>
              <w:rPr>
                <w:szCs w:val="22"/>
                <w:lang w:val="en-GB" w:bidi="ar-SA"/>
              </w:rPr>
            </w:pPr>
            <w:r w:rsidRPr="008C0160">
              <w:rPr>
                <w:szCs w:val="22"/>
                <w:lang w:bidi="ar-SA"/>
              </w:rPr>
              <w:t>(individual monomers)</w:t>
            </w:r>
          </w:p>
        </w:tc>
        <w:tc>
          <w:tcPr>
            <w:tcW w:w="6182" w:type="dxa"/>
          </w:tcPr>
          <w:p w14:paraId="1CA8DAD0" w14:textId="77777777" w:rsidR="0021172C" w:rsidRPr="0017617B" w:rsidRDefault="0021172C" w:rsidP="0021172C">
            <w:pPr>
              <w:keepNext/>
              <w:widowControl/>
              <w:spacing w:before="240" w:after="240"/>
              <w:ind w:left="851" w:hanging="851"/>
              <w:outlineLvl w:val="3"/>
              <w:rPr>
                <w:bCs/>
                <w:iCs/>
                <w:szCs w:val="22"/>
                <w:lang w:val="en-GB" w:bidi="ar-SA"/>
              </w:rPr>
            </w:pPr>
            <w:r w:rsidRPr="00AB6B8B">
              <w:rPr>
                <w:szCs w:val="22"/>
                <w:lang w:bidi="ar-SA"/>
              </w:rPr>
              <w:t>N-vinylimidazole (C</w:t>
            </w:r>
            <w:r w:rsidRPr="008C0160">
              <w:rPr>
                <w:bCs/>
                <w:iCs/>
                <w:szCs w:val="22"/>
                <w:vertAlign w:val="subscript"/>
                <w:lang w:bidi="ar-SA"/>
              </w:rPr>
              <w:t>5</w:t>
            </w:r>
            <w:r w:rsidRPr="008C0160">
              <w:rPr>
                <w:bCs/>
                <w:iCs/>
                <w:szCs w:val="22"/>
                <w:lang w:bidi="ar-SA"/>
              </w:rPr>
              <w:t>H</w:t>
            </w:r>
            <w:r w:rsidRPr="008C0160">
              <w:rPr>
                <w:bCs/>
                <w:iCs/>
                <w:szCs w:val="22"/>
                <w:vertAlign w:val="subscript"/>
                <w:lang w:bidi="ar-SA"/>
              </w:rPr>
              <w:t>6</w:t>
            </w:r>
            <w:r w:rsidRPr="008C0160">
              <w:rPr>
                <w:bCs/>
                <w:iCs/>
                <w:szCs w:val="22"/>
                <w:lang w:bidi="ar-SA"/>
              </w:rPr>
              <w:t>N</w:t>
            </w:r>
            <w:r w:rsidRPr="008C0160">
              <w:rPr>
                <w:bCs/>
                <w:iCs/>
                <w:szCs w:val="22"/>
                <w:vertAlign w:val="subscript"/>
                <w:lang w:bidi="ar-SA"/>
              </w:rPr>
              <w:t>2</w:t>
            </w:r>
            <w:r w:rsidRPr="00AB6B8B">
              <w:rPr>
                <w:szCs w:val="22"/>
                <w:lang w:bidi="ar-SA"/>
              </w:rPr>
              <w:t>)</w:t>
            </w:r>
          </w:p>
          <w:p w14:paraId="14DF1A8F" w14:textId="77777777" w:rsidR="0021172C" w:rsidRPr="0017617B" w:rsidRDefault="0021172C" w:rsidP="0021172C">
            <w:pPr>
              <w:keepNext/>
              <w:widowControl/>
              <w:spacing w:before="240" w:after="240"/>
              <w:outlineLvl w:val="3"/>
              <w:rPr>
                <w:bCs/>
                <w:iCs/>
                <w:szCs w:val="22"/>
                <w:lang w:val="en-GB" w:bidi="ar-SA"/>
              </w:rPr>
            </w:pPr>
            <w:r w:rsidRPr="00AB6B8B">
              <w:rPr>
                <w:szCs w:val="22"/>
                <w:lang w:bidi="ar-SA"/>
              </w:rPr>
              <w:t>N-vinyl-2-pyrrolidone (C</w:t>
            </w:r>
            <w:r w:rsidRPr="008C0160">
              <w:rPr>
                <w:bCs/>
                <w:iCs/>
                <w:szCs w:val="22"/>
                <w:vertAlign w:val="subscript"/>
                <w:lang w:bidi="ar-SA"/>
              </w:rPr>
              <w:t>6</w:t>
            </w:r>
            <w:r w:rsidRPr="008C0160">
              <w:rPr>
                <w:bCs/>
                <w:iCs/>
                <w:szCs w:val="22"/>
                <w:lang w:bidi="ar-SA"/>
              </w:rPr>
              <w:t>H</w:t>
            </w:r>
            <w:r w:rsidRPr="008C0160">
              <w:rPr>
                <w:bCs/>
                <w:iCs/>
                <w:szCs w:val="22"/>
                <w:vertAlign w:val="subscript"/>
                <w:lang w:bidi="ar-SA"/>
              </w:rPr>
              <w:t>9</w:t>
            </w:r>
            <w:r w:rsidRPr="008C0160">
              <w:rPr>
                <w:bCs/>
                <w:iCs/>
                <w:szCs w:val="22"/>
                <w:lang w:bidi="ar-SA"/>
              </w:rPr>
              <w:t>NO)</w:t>
            </w:r>
          </w:p>
        </w:tc>
      </w:tr>
      <w:tr w:rsidR="0021172C" w:rsidRPr="008C0160" w14:paraId="42457276" w14:textId="77777777" w:rsidTr="00FA6105">
        <w:tc>
          <w:tcPr>
            <w:tcW w:w="2890" w:type="dxa"/>
          </w:tcPr>
          <w:p w14:paraId="05F1D7D8" w14:textId="77777777" w:rsidR="0021172C" w:rsidRPr="0017617B" w:rsidRDefault="0021172C" w:rsidP="0021172C">
            <w:pPr>
              <w:keepNext/>
              <w:widowControl/>
              <w:spacing w:before="240" w:after="240"/>
              <w:outlineLvl w:val="3"/>
              <w:rPr>
                <w:bCs/>
                <w:i/>
                <w:iCs/>
                <w:szCs w:val="22"/>
                <w:lang w:val="en-GB" w:bidi="ar-SA"/>
              </w:rPr>
            </w:pPr>
            <w:r w:rsidRPr="008C0160">
              <w:rPr>
                <w:bCs/>
                <w:i/>
                <w:iCs/>
                <w:szCs w:val="22"/>
                <w:lang w:bidi="ar-SA"/>
              </w:rPr>
              <w:t>Molecular weight:</w:t>
            </w:r>
          </w:p>
          <w:p w14:paraId="29F22A8C" w14:textId="77777777" w:rsidR="0021172C" w:rsidRPr="0017617B" w:rsidRDefault="0021172C" w:rsidP="0021172C">
            <w:pPr>
              <w:widowControl/>
              <w:rPr>
                <w:szCs w:val="22"/>
                <w:lang w:val="en-GB" w:bidi="ar-SA"/>
              </w:rPr>
            </w:pPr>
            <w:r w:rsidRPr="008C0160">
              <w:rPr>
                <w:szCs w:val="22"/>
                <w:lang w:bidi="ar-SA"/>
              </w:rPr>
              <w:t>(individual monomers)</w:t>
            </w:r>
          </w:p>
        </w:tc>
        <w:tc>
          <w:tcPr>
            <w:tcW w:w="6182" w:type="dxa"/>
          </w:tcPr>
          <w:p w14:paraId="4A5715B9" w14:textId="77777777" w:rsidR="0021172C" w:rsidRPr="0017617B" w:rsidRDefault="0021172C" w:rsidP="0021172C">
            <w:pPr>
              <w:keepNext/>
              <w:widowControl/>
              <w:spacing w:before="240" w:after="240"/>
              <w:outlineLvl w:val="3"/>
              <w:rPr>
                <w:bCs/>
                <w:iCs/>
                <w:szCs w:val="22"/>
                <w:lang w:val="en-GB" w:bidi="ar-SA"/>
              </w:rPr>
            </w:pPr>
            <w:r w:rsidRPr="00AB6B8B">
              <w:rPr>
                <w:szCs w:val="22"/>
                <w:lang w:bidi="ar-SA"/>
              </w:rPr>
              <w:t>N-vinylimidazole (94.115 Da)</w:t>
            </w:r>
          </w:p>
          <w:p w14:paraId="09E94462" w14:textId="77777777" w:rsidR="0021172C" w:rsidRPr="0017617B" w:rsidRDefault="0021172C" w:rsidP="0021172C">
            <w:pPr>
              <w:keepNext/>
              <w:widowControl/>
              <w:spacing w:before="240" w:after="240"/>
              <w:outlineLvl w:val="3"/>
              <w:rPr>
                <w:bCs/>
                <w:iCs/>
                <w:szCs w:val="22"/>
                <w:lang w:val="en-GB" w:bidi="ar-SA"/>
              </w:rPr>
            </w:pPr>
            <w:r w:rsidRPr="00AB6B8B">
              <w:rPr>
                <w:szCs w:val="22"/>
                <w:lang w:bidi="ar-SA"/>
              </w:rPr>
              <w:t>N-vinyl-2-pyrrolidone (111.142 Da)</w:t>
            </w:r>
          </w:p>
          <w:p w14:paraId="54F125D6" w14:textId="77777777" w:rsidR="0021172C" w:rsidRPr="0017617B" w:rsidRDefault="0021172C" w:rsidP="0021172C">
            <w:pPr>
              <w:keepNext/>
              <w:widowControl/>
              <w:spacing w:before="240" w:after="240"/>
              <w:outlineLvl w:val="3"/>
              <w:rPr>
                <w:bCs/>
                <w:iCs/>
                <w:szCs w:val="22"/>
                <w:lang w:val="en-GB" w:bidi="ar-SA"/>
              </w:rPr>
            </w:pPr>
          </w:p>
        </w:tc>
      </w:tr>
      <w:tr w:rsidR="00FA6105" w:rsidRPr="008C0160" w14:paraId="7D34D5B1" w14:textId="77777777" w:rsidTr="00FA6105">
        <w:trPr>
          <w:trHeight w:val="715"/>
        </w:trPr>
        <w:tc>
          <w:tcPr>
            <w:tcW w:w="9072" w:type="dxa"/>
            <w:gridSpan w:val="2"/>
          </w:tcPr>
          <w:p w14:paraId="7D44EC09" w14:textId="77777777" w:rsidR="00FA6105" w:rsidRPr="0017617B" w:rsidRDefault="00FA6105" w:rsidP="0021172C">
            <w:pPr>
              <w:keepNext/>
              <w:widowControl/>
              <w:spacing w:before="240" w:after="240"/>
              <w:outlineLvl w:val="3"/>
              <w:rPr>
                <w:bCs/>
                <w:iCs/>
                <w:szCs w:val="22"/>
                <w:lang w:val="en-GB" w:bidi="ar-SA"/>
              </w:rPr>
            </w:pPr>
            <w:r w:rsidRPr="009F4510">
              <w:rPr>
                <w:noProof/>
                <w:szCs w:val="22"/>
                <w:lang w:eastAsia="en-GB" w:bidi="ar-SA"/>
              </w:rPr>
              <mc:AlternateContent>
                <mc:Choice Requires="wps">
                  <w:drawing>
                    <wp:anchor distT="0" distB="0" distL="114300" distR="114300" simplePos="0" relativeHeight="251658240" behindDoc="0" locked="0" layoutInCell="1" allowOverlap="1" wp14:anchorId="207B2C35" wp14:editId="0B7BCB4C">
                      <wp:simplePos x="0" y="0"/>
                      <wp:positionH relativeFrom="column">
                        <wp:posOffset>2963904</wp:posOffset>
                      </wp:positionH>
                      <wp:positionV relativeFrom="paragraph">
                        <wp:posOffset>96686</wp:posOffset>
                      </wp:positionV>
                      <wp:extent cx="2122998" cy="2027582"/>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998" cy="2027582"/>
                              </a:xfrm>
                              <a:prstGeom prst="rect">
                                <a:avLst/>
                              </a:prstGeom>
                              <a:solidFill>
                                <a:srgbClr val="FFFFFF"/>
                              </a:solidFill>
                              <a:ln w="9525">
                                <a:noFill/>
                                <a:miter lim="800000"/>
                                <a:headEnd/>
                                <a:tailEnd/>
                              </a:ln>
                            </wps:spPr>
                            <wps:txbx>
                              <w:txbxContent>
                                <w:p w14:paraId="07CD5EF7" w14:textId="77777777" w:rsidR="003F2385" w:rsidRDefault="003F2385" w:rsidP="0021172C">
                                  <w:pPr>
                                    <w:jc w:val="center"/>
                                  </w:pPr>
                                  <w:r>
                                    <w:rPr>
                                      <w:noProof/>
                                      <w:lang w:eastAsia="en-GB" w:bidi="ar-SA"/>
                                    </w:rPr>
                                    <w:drawing>
                                      <wp:inline distT="0" distB="0" distL="0" distR="0" wp14:anchorId="7654B5D4" wp14:editId="4A5AA293">
                                        <wp:extent cx="1129085" cy="1079957"/>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138726" cy="1089179"/>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7B2C35" id="_x0000_t202" coordsize="21600,21600" o:spt="202" path="m,l,21600r21600,l21600,xe">
                      <v:stroke joinstyle="miter"/>
                      <v:path gradientshapeok="t" o:connecttype="rect"/>
                    </v:shapetype>
                    <v:shape id="Text Box 2" o:spid="_x0000_s1027" type="#_x0000_t202" style="position:absolute;margin-left:233.4pt;margin-top:7.6pt;width:167.15pt;height:15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" stroked="f">
                      <v:textbox>
                        <w:txbxContent>
                          <w:p w14:paraId="07CD5EF7" w14:textId="77777777" w:rsidR="003F2385" w:rsidRDefault="003F2385" w:rsidP="0021172C">
                            <w:pPr>
                              <w:jc w:val="center"/>
                            </w:pPr>
                            <w:r>
                              <w:rPr>
                                <w:noProof/>
                                <w:lang w:eastAsia="en-GB" w:bidi="ar-SA"/>
                              </w:rPr>
                              <w:drawing>
                                <wp:inline distT="0" distB="0" distL="0" distR="0" wp14:anchorId="7654B5D4" wp14:editId="4A5AA293">
                                  <wp:extent cx="1129085" cy="1079957"/>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138726" cy="1089179"/>
                                          </a:xfrm>
                                          <a:prstGeom prst="rect">
                                            <a:avLst/>
                                          </a:prstGeom>
                                        </pic:spPr>
                                      </pic:pic>
                                    </a:graphicData>
                                  </a:graphic>
                                </wp:inline>
                              </w:drawing>
                            </w:r>
                          </w:p>
                        </w:txbxContent>
                      </v:textbox>
                    </v:shape>
                  </w:pict>
                </mc:Fallback>
              </mc:AlternateContent>
            </w:r>
          </w:p>
          <w:p w14:paraId="6CC0D184" w14:textId="77777777" w:rsidR="00FA6105" w:rsidRPr="0017617B" w:rsidRDefault="00FA6105" w:rsidP="0021172C">
            <w:pPr>
              <w:keepNext/>
              <w:widowControl/>
              <w:spacing w:before="240" w:after="240"/>
              <w:ind w:left="851" w:hanging="851"/>
              <w:outlineLvl w:val="3"/>
              <w:rPr>
                <w:bCs/>
                <w:iCs/>
                <w:szCs w:val="22"/>
                <w:lang w:val="en-GB" w:bidi="ar-SA"/>
              </w:rPr>
            </w:pPr>
            <w:r w:rsidRPr="00AB6B8B">
              <w:rPr>
                <w:szCs w:val="22"/>
                <w:lang w:bidi="ar-SA"/>
              </w:rPr>
              <w:t xml:space="preserve">                                            N-vinylimidazole </w:t>
            </w:r>
          </w:p>
          <w:p w14:paraId="3C32A01A" w14:textId="77777777" w:rsidR="00FA6105" w:rsidRPr="0017617B" w:rsidRDefault="00FA6105" w:rsidP="0021172C">
            <w:pPr>
              <w:keepNext/>
              <w:widowControl/>
              <w:spacing w:before="240" w:after="240"/>
              <w:outlineLvl w:val="3"/>
              <w:rPr>
                <w:bCs/>
                <w:iCs/>
                <w:szCs w:val="22"/>
                <w:lang w:val="en-GB" w:bidi="ar-SA"/>
              </w:rPr>
            </w:pPr>
          </w:p>
        </w:tc>
      </w:tr>
      <w:tr w:rsidR="00FA6105" w:rsidRPr="008C0160" w14:paraId="28B39078" w14:textId="77777777" w:rsidTr="00FA6105">
        <w:trPr>
          <w:trHeight w:val="715"/>
        </w:trPr>
        <w:tc>
          <w:tcPr>
            <w:tcW w:w="9072" w:type="dxa"/>
            <w:gridSpan w:val="2"/>
          </w:tcPr>
          <w:p w14:paraId="6EF6D5BE" w14:textId="77777777" w:rsidR="00FA6105" w:rsidRPr="0017617B" w:rsidRDefault="00FA6105" w:rsidP="0021172C">
            <w:pPr>
              <w:keepNext/>
              <w:widowControl/>
              <w:spacing w:before="240" w:after="240"/>
              <w:outlineLvl w:val="3"/>
              <w:rPr>
                <w:bCs/>
                <w:iCs/>
                <w:szCs w:val="22"/>
                <w:lang w:val="en-GB" w:bidi="ar-SA"/>
              </w:rPr>
            </w:pPr>
            <w:r w:rsidRPr="009F4510">
              <w:rPr>
                <w:noProof/>
                <w:szCs w:val="22"/>
                <w:lang w:eastAsia="en-GB" w:bidi="ar-SA"/>
              </w:rPr>
              <mc:AlternateContent>
                <mc:Choice Requires="wps">
                  <w:drawing>
                    <wp:anchor distT="0" distB="0" distL="114300" distR="114300" simplePos="0" relativeHeight="251660288" behindDoc="0" locked="0" layoutInCell="1" allowOverlap="1" wp14:anchorId="4D7F78EC" wp14:editId="386F33DC">
                      <wp:simplePos x="0" y="0"/>
                      <wp:positionH relativeFrom="column">
                        <wp:posOffset>1894205</wp:posOffset>
                      </wp:positionH>
                      <wp:positionV relativeFrom="paragraph">
                        <wp:posOffset>295910</wp:posOffset>
                      </wp:positionV>
                      <wp:extent cx="1971675" cy="1457325"/>
                      <wp:effectExtent l="0" t="0"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1457325"/>
                              </a:xfrm>
                              <a:prstGeom prst="rect">
                                <a:avLst/>
                              </a:prstGeom>
                              <a:solidFill>
                                <a:srgbClr val="FFFFFF"/>
                              </a:solidFill>
                              <a:ln w="9525">
                                <a:noFill/>
                                <a:miter lim="800000"/>
                                <a:headEnd/>
                                <a:tailEnd/>
                              </a:ln>
                            </wps:spPr>
                            <wps:txbx>
                              <w:txbxContent>
                                <w:p w14:paraId="1018FCB8" w14:textId="77777777" w:rsidR="003F2385" w:rsidRDefault="003F2385" w:rsidP="0021172C">
                                  <w:pPr>
                                    <w:jc w:val="center"/>
                                  </w:pPr>
                                  <w:r>
                                    <w:rPr>
                                      <w:noProof/>
                                      <w:lang w:eastAsia="en-GB" w:bidi="ar-SA"/>
                                    </w:rPr>
                                    <w:drawing>
                                      <wp:inline distT="0" distB="0" distL="0" distR="0" wp14:anchorId="3F955B24" wp14:editId="5D832672">
                                        <wp:extent cx="1457864" cy="1075942"/>
                                        <wp:effectExtent l="0" t="0" r="9525" b="0"/>
                                        <wp:docPr id="17" name="Picture 17" title="Visual representation of N-vinyl-2-pyrrolid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3435" cy="1080054"/>
                                                </a:xfrm>
                                                <a:prstGeom prst="rect">
                                                  <a:avLst/>
                                                </a:prstGeom>
                                                <a:noFill/>
                                                <a:ln>
                                                  <a:noFill/>
                                                </a:ln>
                                              </pic:spPr>
                                            </pic:pic>
                                          </a:graphicData>
                                        </a:graphic>
                                      </wp:inline>
                                    </w:drawing>
                                  </w:r>
                                </w:p>
                                <w:p w14:paraId="29A3DDDC" w14:textId="77777777" w:rsidR="003F2385" w:rsidRDefault="003F2385" w:rsidP="0021172C">
                                  <w:pPr>
                                    <w:jc w:val="center"/>
                                  </w:pPr>
                                </w:p>
                                <w:p w14:paraId="0E83118C" w14:textId="77777777" w:rsidR="003F2385" w:rsidRDefault="003F2385" w:rsidP="0021172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F78EC" id="Text Box 5" o:spid="_x0000_s1028" type="#_x0000_t202" style="position:absolute;margin-left:149.15pt;margin-top:23.3pt;width:155.25pt;height:1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" stroked="f">
                      <v:textbox>
                        <w:txbxContent>
                          <w:p w14:paraId="1018FCB8" w14:textId="77777777" w:rsidR="003F2385" w:rsidRDefault="003F2385" w:rsidP="0021172C">
                            <w:pPr>
                              <w:jc w:val="center"/>
                            </w:pPr>
                            <w:r>
                              <w:rPr>
                                <w:noProof/>
                                <w:lang w:eastAsia="en-GB" w:bidi="ar-SA"/>
                              </w:rPr>
                              <w:drawing>
                                <wp:inline distT="0" distB="0" distL="0" distR="0" wp14:anchorId="3F955B24" wp14:editId="5D832672">
                                  <wp:extent cx="1457864" cy="1075942"/>
                                  <wp:effectExtent l="0" t="0" r="9525" b="0"/>
                                  <wp:docPr id="17" name="Picture 17" title="Visual representation of N-vinyl-2-pyrrolid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63435" cy="1080054"/>
                                          </a:xfrm>
                                          <a:prstGeom prst="rect">
                                            <a:avLst/>
                                          </a:prstGeom>
                                          <a:noFill/>
                                          <a:ln>
                                            <a:noFill/>
                                          </a:ln>
                                        </pic:spPr>
                                      </pic:pic>
                                    </a:graphicData>
                                  </a:graphic>
                                </wp:inline>
                              </w:drawing>
                            </w:r>
                          </w:p>
                          <w:p w14:paraId="29A3DDDC" w14:textId="77777777" w:rsidR="003F2385" w:rsidRDefault="003F2385" w:rsidP="0021172C">
                            <w:pPr>
                              <w:jc w:val="center"/>
                            </w:pPr>
                          </w:p>
                          <w:p w14:paraId="0E83118C" w14:textId="77777777" w:rsidR="003F2385" w:rsidRDefault="003F2385" w:rsidP="0021172C">
                            <w:pPr>
                              <w:jc w:val="center"/>
                            </w:pPr>
                          </w:p>
                        </w:txbxContent>
                      </v:textbox>
                    </v:shape>
                  </w:pict>
                </mc:Fallback>
              </mc:AlternateContent>
            </w:r>
          </w:p>
          <w:p w14:paraId="5544EC6B" w14:textId="77777777" w:rsidR="00FA6105" w:rsidRPr="0017617B" w:rsidRDefault="00FA6105" w:rsidP="0021172C">
            <w:pPr>
              <w:keepNext/>
              <w:widowControl/>
              <w:spacing w:before="240" w:after="240"/>
              <w:outlineLvl w:val="3"/>
              <w:rPr>
                <w:bCs/>
                <w:iCs/>
                <w:szCs w:val="22"/>
                <w:lang w:val="en-GB" w:bidi="ar-SA"/>
              </w:rPr>
            </w:pPr>
            <w:r w:rsidRPr="00AB6B8B">
              <w:rPr>
                <w:szCs w:val="22"/>
                <w:lang w:bidi="ar-SA"/>
              </w:rPr>
              <w:t xml:space="preserve">               N-vinyl-2-pyrrolidone</w:t>
            </w:r>
          </w:p>
          <w:p w14:paraId="502EA66D" w14:textId="77777777" w:rsidR="00FA6105" w:rsidRPr="0017617B" w:rsidRDefault="00FA6105" w:rsidP="0021172C">
            <w:pPr>
              <w:keepNext/>
              <w:widowControl/>
              <w:spacing w:before="240" w:after="240"/>
              <w:outlineLvl w:val="3"/>
              <w:rPr>
                <w:bCs/>
                <w:iCs/>
                <w:szCs w:val="22"/>
                <w:lang w:val="en-GB" w:bidi="ar-SA"/>
              </w:rPr>
            </w:pPr>
          </w:p>
        </w:tc>
      </w:tr>
    </w:tbl>
    <w:p w14:paraId="0BBA2284" w14:textId="77777777" w:rsidR="00003031" w:rsidRPr="008C0160" w:rsidRDefault="00003031" w:rsidP="00AF1D64">
      <w:pPr>
        <w:pStyle w:val="Heading3"/>
      </w:pPr>
      <w:bookmarkStart w:id="115" w:name="_Toc472668699"/>
      <w:r w:rsidRPr="008C0160">
        <w:br w:type="page"/>
      </w:r>
    </w:p>
    <w:p w14:paraId="7ECACA09" w14:textId="77777777" w:rsidR="0021172C" w:rsidRPr="008C0160" w:rsidRDefault="00AF1D64" w:rsidP="0017617B">
      <w:pPr>
        <w:pStyle w:val="Heading3"/>
      </w:pPr>
      <w:bookmarkStart w:id="116" w:name="_Toc476908589"/>
      <w:bookmarkStart w:id="117" w:name="_Toc478375810"/>
      <w:r w:rsidRPr="008C0160">
        <w:lastRenderedPageBreak/>
        <w:t>2</w:t>
      </w:r>
      <w:r w:rsidR="00003031" w:rsidRPr="008C0160">
        <w:t>.4</w:t>
      </w:r>
      <w:r w:rsidRPr="008C0160">
        <w:tab/>
      </w:r>
      <w:r w:rsidR="0021172C" w:rsidRPr="008C0160">
        <w:t>Analytical method for detection</w:t>
      </w:r>
      <w:bookmarkEnd w:id="115"/>
      <w:bookmarkEnd w:id="116"/>
      <w:bookmarkEnd w:id="117"/>
    </w:p>
    <w:p w14:paraId="44B5C24A" w14:textId="77777777" w:rsidR="0021172C" w:rsidRPr="0017617B" w:rsidRDefault="0021172C" w:rsidP="00BF54AD">
      <w:pPr>
        <w:widowControl/>
        <w:rPr>
          <w:lang w:bidi="ar-SA"/>
        </w:rPr>
      </w:pPr>
      <w:r w:rsidRPr="0017617B">
        <w:rPr>
          <w:lang w:bidi="ar-SA"/>
        </w:rPr>
        <w:t xml:space="preserve">OIV has developed analytical methods of detection for PVI/PVP </w:t>
      </w:r>
      <w:r w:rsidR="00370D52" w:rsidRPr="0017617B">
        <w:rPr>
          <w:lang w:bidi="ar-SA"/>
        </w:rPr>
        <w:t>co-polymers</w:t>
      </w:r>
      <w:r w:rsidRPr="0017617B">
        <w:rPr>
          <w:lang w:bidi="ar-SA"/>
        </w:rPr>
        <w:t xml:space="preserve">. </w:t>
      </w:r>
      <w:r w:rsidR="009E51C1" w:rsidRPr="0017617B">
        <w:rPr>
          <w:lang w:bidi="ar-SA"/>
        </w:rPr>
        <w:t>In the European Union, treatment with PVI/PVP co-polymers must comply with the purity and identification specifications for authorised co-polymers, published in RESOLUTION OIV-OENO 262-2014 PVI/PVP ADSORBENT CO-POLYMERS – CODEX.</w:t>
      </w:r>
    </w:p>
    <w:p w14:paraId="0BEB7703" w14:textId="77777777" w:rsidR="0021172C" w:rsidRPr="008C0160" w:rsidRDefault="00AF1D64" w:rsidP="0017617B">
      <w:pPr>
        <w:pStyle w:val="Heading3"/>
      </w:pPr>
      <w:bookmarkStart w:id="118" w:name="_Toc472668700"/>
      <w:bookmarkStart w:id="119" w:name="_Toc476908590"/>
      <w:bookmarkStart w:id="120" w:name="_Toc478375811"/>
      <w:r w:rsidRPr="008C0160">
        <w:t>2</w:t>
      </w:r>
      <w:r w:rsidR="00003031" w:rsidRPr="008C0160">
        <w:t>.5</w:t>
      </w:r>
      <w:r w:rsidRPr="008C0160">
        <w:tab/>
      </w:r>
      <w:r w:rsidR="0021172C" w:rsidRPr="008C0160">
        <w:t>Manufacturing process</w:t>
      </w:r>
      <w:bookmarkEnd w:id="118"/>
      <w:bookmarkEnd w:id="119"/>
      <w:bookmarkEnd w:id="120"/>
    </w:p>
    <w:p w14:paraId="634177AB" w14:textId="77777777" w:rsidR="0021172C" w:rsidRPr="0017617B" w:rsidRDefault="0021172C" w:rsidP="00BF54AD">
      <w:pPr>
        <w:widowControl/>
        <w:rPr>
          <w:lang w:bidi="ar-SA"/>
        </w:rPr>
      </w:pPr>
      <w:r w:rsidRPr="0017617B">
        <w:rPr>
          <w:lang w:bidi="ar-SA"/>
        </w:rPr>
        <w:t xml:space="preserve">PVI/PVP </w:t>
      </w:r>
      <w:r w:rsidR="00370D52" w:rsidRPr="0017617B">
        <w:rPr>
          <w:lang w:bidi="ar-SA"/>
        </w:rPr>
        <w:t>co-polymers</w:t>
      </w:r>
      <w:r w:rsidRPr="0017617B">
        <w:rPr>
          <w:lang w:bidi="ar-SA"/>
        </w:rPr>
        <w:t xml:space="preserve"> are manufactured by "popcorn" polymeri</w:t>
      </w:r>
      <w:r w:rsidR="00003031" w:rsidRPr="0017617B">
        <w:rPr>
          <w:lang w:bidi="ar-SA"/>
        </w:rPr>
        <w:t>s</w:t>
      </w:r>
      <w:r w:rsidRPr="0017617B">
        <w:rPr>
          <w:lang w:bidi="ar-SA"/>
        </w:rPr>
        <w:t>ation; a free-radical mechanism that results in a polymer due to extensive crosslinking.</w:t>
      </w:r>
    </w:p>
    <w:p w14:paraId="6198C332" w14:textId="77777777" w:rsidR="0021172C" w:rsidRPr="0017617B" w:rsidRDefault="0021172C" w:rsidP="00BF54AD">
      <w:pPr>
        <w:widowControl/>
        <w:rPr>
          <w:lang w:bidi="ar-SA"/>
        </w:rPr>
      </w:pPr>
    </w:p>
    <w:p w14:paraId="3C853A78" w14:textId="77777777" w:rsidR="0021172C" w:rsidRPr="0017617B" w:rsidRDefault="0021172C" w:rsidP="00BF54AD">
      <w:pPr>
        <w:widowControl/>
        <w:rPr>
          <w:lang w:bidi="ar-SA"/>
        </w:rPr>
      </w:pPr>
      <w:r w:rsidRPr="0017617B">
        <w:rPr>
          <w:lang w:bidi="ar-SA"/>
        </w:rPr>
        <w:t>The monomers involved are:</w:t>
      </w:r>
    </w:p>
    <w:p w14:paraId="5E20D73F" w14:textId="77777777" w:rsidR="00003031" w:rsidRPr="0017617B" w:rsidRDefault="00003031" w:rsidP="00BF54AD">
      <w:pPr>
        <w:widowControl/>
        <w:rPr>
          <w:lang w:bidi="ar-SA"/>
        </w:rPr>
      </w:pPr>
    </w:p>
    <w:p w14:paraId="2CEE7AEF" w14:textId="77777777" w:rsidR="0021172C" w:rsidRPr="0017617B" w:rsidRDefault="0021172C" w:rsidP="00F65F2C">
      <w:pPr>
        <w:widowControl/>
        <w:numPr>
          <w:ilvl w:val="1"/>
          <w:numId w:val="7"/>
        </w:numPr>
        <w:tabs>
          <w:tab w:val="left" w:pos="993"/>
        </w:tabs>
        <w:ind w:left="990" w:hanging="270"/>
        <w:contextualSpacing/>
        <w:rPr>
          <w:rFonts w:eastAsia="Calibri"/>
          <w:szCs w:val="22"/>
          <w:lang w:bidi="ar-SA"/>
        </w:rPr>
      </w:pPr>
      <w:r w:rsidRPr="0017617B">
        <w:rPr>
          <w:rFonts w:eastAsia="Calibri"/>
          <w:szCs w:val="22"/>
          <w:lang w:bidi="ar-SA"/>
        </w:rPr>
        <w:t>N-vinylimidazole</w:t>
      </w:r>
      <w:r w:rsidR="002556D7" w:rsidRPr="0017617B">
        <w:rPr>
          <w:rFonts w:eastAsia="Calibri"/>
          <w:szCs w:val="22"/>
          <w:lang w:bidi="ar-SA"/>
        </w:rPr>
        <w:tab/>
      </w:r>
      <w:r w:rsidR="002556D7" w:rsidRPr="0017617B">
        <w:rPr>
          <w:rFonts w:eastAsia="Calibri"/>
          <w:szCs w:val="22"/>
          <w:lang w:bidi="ar-SA"/>
        </w:rPr>
        <w:tab/>
      </w:r>
      <w:r w:rsidRPr="0017617B">
        <w:rPr>
          <w:rFonts w:eastAsia="Calibri"/>
          <w:szCs w:val="22"/>
          <w:lang w:bidi="ar-SA"/>
        </w:rPr>
        <w:t>(CAS no. 1072-63-5)</w:t>
      </w:r>
    </w:p>
    <w:p w14:paraId="53EEDDA4" w14:textId="77777777" w:rsidR="0021172C" w:rsidRPr="0017617B" w:rsidRDefault="0021172C" w:rsidP="00BF54AD">
      <w:pPr>
        <w:widowControl/>
        <w:rPr>
          <w:lang w:bidi="ar-SA"/>
        </w:rPr>
      </w:pPr>
      <w:r w:rsidRPr="0017617B">
        <w:rPr>
          <w:lang w:bidi="ar-SA"/>
        </w:rPr>
        <w:t>and</w:t>
      </w:r>
    </w:p>
    <w:p w14:paraId="0DB9CCF9" w14:textId="77777777" w:rsidR="0021172C" w:rsidRPr="0017617B" w:rsidRDefault="0021172C" w:rsidP="00F65F2C">
      <w:pPr>
        <w:widowControl/>
        <w:numPr>
          <w:ilvl w:val="1"/>
          <w:numId w:val="7"/>
        </w:numPr>
        <w:tabs>
          <w:tab w:val="left" w:pos="993"/>
        </w:tabs>
        <w:ind w:left="990" w:hanging="270"/>
        <w:contextualSpacing/>
        <w:rPr>
          <w:rFonts w:eastAsia="Calibri"/>
          <w:szCs w:val="22"/>
          <w:lang w:bidi="ar-SA"/>
        </w:rPr>
      </w:pPr>
      <w:r w:rsidRPr="0017617B">
        <w:rPr>
          <w:rFonts w:eastAsia="Calibri"/>
          <w:szCs w:val="22"/>
          <w:lang w:bidi="ar-SA"/>
        </w:rPr>
        <w:t>N-vinyl-2-pyrrolidone</w:t>
      </w:r>
      <w:r w:rsidR="002556D7" w:rsidRPr="0017617B">
        <w:rPr>
          <w:rFonts w:eastAsia="Calibri"/>
          <w:szCs w:val="22"/>
          <w:lang w:bidi="ar-SA"/>
        </w:rPr>
        <w:tab/>
      </w:r>
      <w:r w:rsidRPr="0017617B">
        <w:rPr>
          <w:rFonts w:eastAsia="Calibri"/>
          <w:szCs w:val="22"/>
          <w:lang w:bidi="ar-SA"/>
        </w:rPr>
        <w:t>(CAS no. 88-12-0)</w:t>
      </w:r>
    </w:p>
    <w:p w14:paraId="2BF9319E" w14:textId="77777777" w:rsidR="0021172C" w:rsidRPr="0017617B" w:rsidRDefault="0021172C" w:rsidP="0021172C">
      <w:pPr>
        <w:widowControl/>
        <w:ind w:left="567"/>
        <w:rPr>
          <w:rFonts w:eastAsia="Calibri"/>
          <w:szCs w:val="22"/>
          <w:lang w:bidi="ar-SA"/>
        </w:rPr>
      </w:pPr>
    </w:p>
    <w:p w14:paraId="11F146FA" w14:textId="77777777" w:rsidR="0021172C" w:rsidRPr="0017617B" w:rsidRDefault="0021172C" w:rsidP="00BF54AD">
      <w:pPr>
        <w:widowControl/>
        <w:rPr>
          <w:lang w:bidi="ar-SA"/>
        </w:rPr>
      </w:pPr>
      <w:r w:rsidRPr="0017617B">
        <w:rPr>
          <w:lang w:bidi="ar-SA"/>
        </w:rPr>
        <w:t>with a ratio of 9:1 N-</w:t>
      </w:r>
      <w:r w:rsidR="0017617B">
        <w:rPr>
          <w:lang w:bidi="ar-SA"/>
        </w:rPr>
        <w:t>vinylimidazole:</w:t>
      </w:r>
      <w:r w:rsidR="0017617B" w:rsidRPr="0017617B">
        <w:rPr>
          <w:lang w:bidi="ar-SA"/>
        </w:rPr>
        <w:t>N</w:t>
      </w:r>
      <w:r w:rsidRPr="0017617B">
        <w:rPr>
          <w:lang w:bidi="ar-SA"/>
        </w:rPr>
        <w:t>-vinyl-2-pyrrolidone. A third monomer, N,N´-divinylimidazolidin-2-one (CAS no. 13811-50) is used as a crosslinking agent at a level of less than 2% by weight of the total amount of the monomers. The resultant product is an adsorbent resin which is insoluble in water, alcohol and in most other liquids. It has a number of functional imidazole groups which connect selectively to the various metals present in wine.</w:t>
      </w:r>
    </w:p>
    <w:p w14:paraId="703CB0B8" w14:textId="77777777" w:rsidR="0021172C" w:rsidRPr="008C0160" w:rsidRDefault="00AF1D64" w:rsidP="0017617B">
      <w:pPr>
        <w:pStyle w:val="Heading3"/>
      </w:pPr>
      <w:bookmarkStart w:id="121" w:name="_Toc472668701"/>
      <w:bookmarkStart w:id="122" w:name="_Toc476908591"/>
      <w:bookmarkStart w:id="123" w:name="_Toc478375812"/>
      <w:r w:rsidRPr="008C0160">
        <w:t>2</w:t>
      </w:r>
      <w:r w:rsidR="00003031" w:rsidRPr="008C0160">
        <w:t>.6</w:t>
      </w:r>
      <w:r w:rsidRPr="008C0160">
        <w:tab/>
      </w:r>
      <w:r w:rsidR="0021172C" w:rsidRPr="008C0160">
        <w:t>Product specification</w:t>
      </w:r>
      <w:bookmarkEnd w:id="121"/>
      <w:bookmarkEnd w:id="122"/>
      <w:bookmarkEnd w:id="123"/>
    </w:p>
    <w:p w14:paraId="6354831F" w14:textId="77777777" w:rsidR="0021172C" w:rsidRPr="0017617B" w:rsidRDefault="0021172C" w:rsidP="00BF54AD">
      <w:pPr>
        <w:widowControl/>
        <w:rPr>
          <w:lang w:bidi="ar-SA"/>
        </w:rPr>
      </w:pPr>
      <w:r w:rsidRPr="0017617B">
        <w:rPr>
          <w:lang w:bidi="ar-SA"/>
        </w:rPr>
        <w:t xml:space="preserve">Any supplier of PVI/PVP </w:t>
      </w:r>
      <w:r w:rsidR="00370D52" w:rsidRPr="0017617B">
        <w:rPr>
          <w:lang w:bidi="ar-SA"/>
        </w:rPr>
        <w:t>co-polymers</w:t>
      </w:r>
      <w:r w:rsidRPr="0017617B">
        <w:rPr>
          <w:lang w:bidi="ar-SA"/>
        </w:rPr>
        <w:t xml:space="preserve"> would need to meet the requirements set out in the OIV INTERNATIONAL OENOLOGICAL CODEX PVI/PVP, COEI-1-PVIPVP 1: 2014</w:t>
      </w:r>
      <w:r w:rsidR="00D6068A" w:rsidRPr="0017617B">
        <w:rPr>
          <w:lang w:bidi="ar-SA"/>
        </w:rPr>
        <w:t>,</w:t>
      </w:r>
      <w:r w:rsidRPr="0017617B">
        <w:rPr>
          <w:lang w:bidi="ar-SA"/>
        </w:rPr>
        <w:t xml:space="preserve"> which is one of the secondary references for specifications in </w:t>
      </w:r>
      <w:r w:rsidR="00003031" w:rsidRPr="0017617B">
        <w:rPr>
          <w:lang w:bidi="ar-SA"/>
        </w:rPr>
        <w:t xml:space="preserve">section </w:t>
      </w:r>
      <w:r w:rsidRPr="0017617B">
        <w:rPr>
          <w:lang w:bidi="ar-SA"/>
        </w:rPr>
        <w:t>S3—3(j).</w:t>
      </w:r>
    </w:p>
    <w:p w14:paraId="3C3714E7" w14:textId="77777777" w:rsidR="0021172C" w:rsidRPr="008C0160" w:rsidRDefault="00AF1D64" w:rsidP="0017617B">
      <w:pPr>
        <w:pStyle w:val="Heading3"/>
      </w:pPr>
      <w:bookmarkStart w:id="124" w:name="_Toc472668702"/>
      <w:bookmarkStart w:id="125" w:name="_Toc476908592"/>
      <w:bookmarkStart w:id="126" w:name="_Toc478375813"/>
      <w:r w:rsidRPr="008C0160">
        <w:t>2</w:t>
      </w:r>
      <w:r w:rsidR="00003031" w:rsidRPr="008C0160">
        <w:t>.7</w:t>
      </w:r>
      <w:r w:rsidRPr="008C0160">
        <w:tab/>
      </w:r>
      <w:r w:rsidR="007C4AAF" w:rsidRPr="008C0160">
        <w:t>Food technology c</w:t>
      </w:r>
      <w:r w:rsidR="0021172C" w:rsidRPr="008C0160">
        <w:t>onclusion</w:t>
      </w:r>
      <w:bookmarkEnd w:id="124"/>
      <w:bookmarkEnd w:id="125"/>
      <w:bookmarkEnd w:id="126"/>
    </w:p>
    <w:p w14:paraId="2829B730" w14:textId="77777777" w:rsidR="0021172C" w:rsidRPr="0017617B" w:rsidRDefault="0021172C" w:rsidP="005C2C2B">
      <w:pPr>
        <w:widowControl/>
        <w:rPr>
          <w:lang w:bidi="ar-SA"/>
        </w:rPr>
      </w:pPr>
      <w:r w:rsidRPr="0017617B">
        <w:rPr>
          <w:lang w:bidi="ar-SA"/>
        </w:rPr>
        <w:t>Based on a study that shows the efficiency in removing metals from wine and musts, FSANZ con</w:t>
      </w:r>
      <w:r w:rsidR="00456D83" w:rsidRPr="0017617B">
        <w:rPr>
          <w:lang w:bidi="ar-SA"/>
        </w:rPr>
        <w:t xml:space="preserve">cludes </w:t>
      </w:r>
      <w:r w:rsidRPr="0017617B">
        <w:rPr>
          <w:lang w:bidi="ar-SA"/>
        </w:rPr>
        <w:t xml:space="preserve">PVI/PVP </w:t>
      </w:r>
      <w:r w:rsidR="00370D52" w:rsidRPr="0017617B">
        <w:rPr>
          <w:lang w:bidi="ar-SA"/>
        </w:rPr>
        <w:t>co-polymers</w:t>
      </w:r>
      <w:r w:rsidRPr="0017617B">
        <w:rPr>
          <w:lang w:bidi="ar-SA"/>
        </w:rPr>
        <w:t xml:space="preserve"> </w:t>
      </w:r>
      <w:r w:rsidR="00456D83" w:rsidRPr="0017617B">
        <w:rPr>
          <w:lang w:bidi="ar-SA"/>
        </w:rPr>
        <w:t xml:space="preserve">to be </w:t>
      </w:r>
      <w:r w:rsidRPr="0017617B">
        <w:rPr>
          <w:lang w:bidi="ar-SA"/>
        </w:rPr>
        <w:t>effective in their role as a processing aid. Remov</w:t>
      </w:r>
      <w:r w:rsidR="00456D83" w:rsidRPr="0017617B">
        <w:rPr>
          <w:lang w:bidi="ar-SA"/>
        </w:rPr>
        <w:t xml:space="preserve">ing </w:t>
      </w:r>
      <w:r w:rsidRPr="0017617B">
        <w:rPr>
          <w:lang w:bidi="ar-SA"/>
        </w:rPr>
        <w:t xml:space="preserve">these metals also reduces the severity of wine spoilage through enzymatic and non-enzymatic reactions, </w:t>
      </w:r>
      <w:r w:rsidR="00B05A6A">
        <w:rPr>
          <w:lang w:bidi="ar-SA"/>
        </w:rPr>
        <w:t xml:space="preserve">and </w:t>
      </w:r>
      <w:r w:rsidRPr="0017617B">
        <w:rPr>
          <w:lang w:bidi="ar-SA"/>
        </w:rPr>
        <w:t>pinking of white wines</w:t>
      </w:r>
      <w:r w:rsidR="007C2C7B">
        <w:rPr>
          <w:lang w:bidi="ar-SA"/>
        </w:rPr>
        <w:t>.</w:t>
      </w:r>
      <w:r w:rsidRPr="0017617B">
        <w:rPr>
          <w:lang w:bidi="ar-SA"/>
        </w:rPr>
        <w:t xml:space="preserve"> </w:t>
      </w:r>
      <w:r w:rsidR="007C2C7B">
        <w:rPr>
          <w:lang w:bidi="ar-SA"/>
        </w:rPr>
        <w:t xml:space="preserve">PVP/PVP also </w:t>
      </w:r>
      <w:r w:rsidR="007C2C7B" w:rsidRPr="0017617B">
        <w:rPr>
          <w:lang w:bidi="ar-SA"/>
        </w:rPr>
        <w:t>preserv</w:t>
      </w:r>
      <w:r w:rsidR="007C2C7B">
        <w:rPr>
          <w:lang w:bidi="ar-SA"/>
        </w:rPr>
        <w:t>es the</w:t>
      </w:r>
      <w:r w:rsidR="007C2C7B" w:rsidRPr="0017617B">
        <w:rPr>
          <w:lang w:bidi="ar-SA"/>
        </w:rPr>
        <w:t xml:space="preserve"> </w:t>
      </w:r>
      <w:r w:rsidRPr="0017617B">
        <w:rPr>
          <w:lang w:bidi="ar-SA"/>
        </w:rPr>
        <w:t>phenolic compounds</w:t>
      </w:r>
      <w:r w:rsidR="007C2C7B">
        <w:rPr>
          <w:lang w:bidi="ar-SA"/>
        </w:rPr>
        <w:t xml:space="preserve"> in wine</w:t>
      </w:r>
      <w:r w:rsidRPr="0017617B">
        <w:rPr>
          <w:lang w:bidi="ar-SA"/>
        </w:rPr>
        <w:t>. At the usage levels permitted in the EU</w:t>
      </w:r>
      <w:r w:rsidR="0039476C" w:rsidRPr="0017617B">
        <w:rPr>
          <w:lang w:bidi="ar-SA"/>
        </w:rPr>
        <w:t xml:space="preserve"> and the US</w:t>
      </w:r>
      <w:r w:rsidR="00992228">
        <w:rPr>
          <w:lang w:bidi="ar-SA"/>
        </w:rPr>
        <w:t>A</w:t>
      </w:r>
      <w:r w:rsidRPr="0017617B">
        <w:rPr>
          <w:lang w:bidi="ar-SA"/>
        </w:rPr>
        <w:t xml:space="preserve">, PVI/PVP </w:t>
      </w:r>
      <w:r w:rsidR="00370D52" w:rsidRPr="0017617B">
        <w:rPr>
          <w:lang w:bidi="ar-SA"/>
        </w:rPr>
        <w:t>co-polymers</w:t>
      </w:r>
      <w:r w:rsidRPr="0017617B">
        <w:rPr>
          <w:lang w:bidi="ar-SA"/>
        </w:rPr>
        <w:t xml:space="preserve"> are technologically justified for use as a processing aid. Furthermore, as the PVI/PVP </w:t>
      </w:r>
      <w:r w:rsidR="00370D52" w:rsidRPr="0017617B">
        <w:rPr>
          <w:lang w:bidi="ar-SA"/>
        </w:rPr>
        <w:t>co-polymers</w:t>
      </w:r>
      <w:r w:rsidRPr="0017617B">
        <w:rPr>
          <w:lang w:bidi="ar-SA"/>
        </w:rPr>
        <w:t xml:space="preserve"> and the precipitates they form are removed through filtration, they do not p</w:t>
      </w:r>
      <w:r w:rsidR="00456D83" w:rsidRPr="0017617B">
        <w:rPr>
          <w:lang w:bidi="ar-SA"/>
        </w:rPr>
        <w:t>er</w:t>
      </w:r>
      <w:r w:rsidRPr="0017617B">
        <w:rPr>
          <w:lang w:bidi="ar-SA"/>
        </w:rPr>
        <w:t>form a technological function in the final food</w:t>
      </w:r>
      <w:r w:rsidR="00456D83" w:rsidRPr="0017617B">
        <w:rPr>
          <w:lang w:bidi="ar-SA"/>
        </w:rPr>
        <w:t xml:space="preserve">. This means they </w:t>
      </w:r>
      <w:r w:rsidRPr="0017617B">
        <w:rPr>
          <w:lang w:bidi="ar-SA"/>
        </w:rPr>
        <w:t>meet the definition of “used as a processing aid” in the Code.</w:t>
      </w:r>
      <w:r w:rsidR="006412C1" w:rsidRPr="008C0160">
        <w:rPr>
          <w:rFonts w:eastAsia="Calibri"/>
          <w:szCs w:val="22"/>
          <w:lang w:bidi="ar-SA"/>
        </w:rPr>
        <w:t xml:space="preserve"> </w:t>
      </w:r>
      <w:r w:rsidR="00A434A9" w:rsidRPr="00A434A9">
        <w:rPr>
          <w:rFonts w:eastAsia="Calibri"/>
          <w:szCs w:val="22"/>
          <w:lang w:bidi="ar-SA"/>
        </w:rPr>
        <w:t xml:space="preserve">PVI/PVP co-polymers will be permitted </w:t>
      </w:r>
      <w:r w:rsidR="00B528BC" w:rsidRPr="00B528BC">
        <w:rPr>
          <w:rFonts w:eastAsia="Calibri"/>
          <w:szCs w:val="22"/>
          <w:lang w:bidi="ar-SA"/>
        </w:rPr>
        <w:t xml:space="preserve">for use at GMP levels, which is the lowest possible level necessary to accomplish </w:t>
      </w:r>
      <w:r w:rsidR="00B05A6A">
        <w:rPr>
          <w:rFonts w:eastAsia="Calibri"/>
          <w:szCs w:val="22"/>
          <w:lang w:bidi="ar-SA"/>
        </w:rPr>
        <w:t>the</w:t>
      </w:r>
      <w:r w:rsidR="00B05A6A" w:rsidRPr="00B528BC">
        <w:rPr>
          <w:rFonts w:eastAsia="Calibri"/>
          <w:szCs w:val="22"/>
          <w:lang w:bidi="ar-SA"/>
        </w:rPr>
        <w:t xml:space="preserve"> </w:t>
      </w:r>
      <w:r w:rsidR="00B05A6A">
        <w:rPr>
          <w:rFonts w:eastAsia="Calibri"/>
          <w:szCs w:val="22"/>
          <w:lang w:bidi="ar-SA"/>
        </w:rPr>
        <w:t>intended</w:t>
      </w:r>
      <w:r w:rsidR="00B05A6A" w:rsidRPr="00B528BC">
        <w:rPr>
          <w:rFonts w:eastAsia="Calibri"/>
          <w:szCs w:val="22"/>
          <w:lang w:bidi="ar-SA"/>
        </w:rPr>
        <w:t xml:space="preserve"> </w:t>
      </w:r>
      <w:r w:rsidR="00B528BC" w:rsidRPr="00B528BC">
        <w:rPr>
          <w:rFonts w:eastAsia="Calibri"/>
          <w:szCs w:val="22"/>
          <w:lang w:bidi="ar-SA"/>
        </w:rPr>
        <w:t>effect</w:t>
      </w:r>
      <w:r w:rsidR="00B528BC">
        <w:rPr>
          <w:rFonts w:eastAsia="Calibri"/>
          <w:szCs w:val="22"/>
          <w:lang w:bidi="ar-SA"/>
        </w:rPr>
        <w:t>.</w:t>
      </w:r>
      <w:r w:rsidR="00A434A9" w:rsidRPr="00A434A9">
        <w:rPr>
          <w:rFonts w:eastAsia="Calibri"/>
          <w:szCs w:val="22"/>
          <w:lang w:bidi="ar-SA"/>
        </w:rPr>
        <w:t xml:space="preserve"> </w:t>
      </w:r>
      <w:r w:rsidR="006412C1" w:rsidRPr="008C0160">
        <w:rPr>
          <w:rFonts w:eastAsia="Calibri"/>
          <w:szCs w:val="22"/>
          <w:lang w:bidi="ar-SA"/>
        </w:rPr>
        <w:t xml:space="preserve">A specification for </w:t>
      </w:r>
      <w:r w:rsidR="006412C1" w:rsidRPr="0017617B">
        <w:rPr>
          <w:rFonts w:eastAsia="Calibri"/>
          <w:szCs w:val="22"/>
          <w:lang w:bidi="ar-SA"/>
        </w:rPr>
        <w:t xml:space="preserve">PVI/PVP co-polymers </w:t>
      </w:r>
      <w:r w:rsidR="006412C1" w:rsidRPr="008C0160">
        <w:rPr>
          <w:rFonts w:eastAsia="Calibri"/>
          <w:szCs w:val="22"/>
          <w:lang w:bidi="ar-SA"/>
        </w:rPr>
        <w:t xml:space="preserve">which meets the requirements of the Code is provided by the OIV.  </w:t>
      </w:r>
    </w:p>
    <w:p w14:paraId="63657B09" w14:textId="77777777" w:rsidR="004A12AC" w:rsidRPr="008C0160" w:rsidRDefault="00AF1D64" w:rsidP="0017617B">
      <w:pPr>
        <w:pStyle w:val="Heading2"/>
      </w:pPr>
      <w:bookmarkStart w:id="127" w:name="_Toc470073478"/>
      <w:bookmarkStart w:id="128" w:name="_Toc472668703"/>
      <w:bookmarkStart w:id="129" w:name="_Toc476908593"/>
      <w:bookmarkStart w:id="130" w:name="_Toc478375814"/>
      <w:r w:rsidRPr="008C0160">
        <w:t>3</w:t>
      </w:r>
      <w:r w:rsidRPr="008C0160">
        <w:tab/>
      </w:r>
      <w:r w:rsidR="004A12AC" w:rsidRPr="008C0160">
        <w:t>Hazard Assessment</w:t>
      </w:r>
      <w:bookmarkEnd w:id="127"/>
      <w:bookmarkEnd w:id="128"/>
      <w:bookmarkEnd w:id="129"/>
      <w:bookmarkEnd w:id="130"/>
    </w:p>
    <w:p w14:paraId="472DF6DD" w14:textId="77777777" w:rsidR="004A12AC" w:rsidRPr="008C0160" w:rsidRDefault="00AF1D64" w:rsidP="0017617B">
      <w:pPr>
        <w:pStyle w:val="Heading3"/>
      </w:pPr>
      <w:bookmarkStart w:id="131" w:name="_Toc470073480"/>
      <w:bookmarkStart w:id="132" w:name="_Toc472668705"/>
      <w:bookmarkStart w:id="133" w:name="_Toc476908594"/>
      <w:bookmarkStart w:id="134" w:name="_Toc478375815"/>
      <w:r w:rsidRPr="008C0160">
        <w:t>3.1</w:t>
      </w:r>
      <w:r w:rsidRPr="008C0160">
        <w:tab/>
      </w:r>
      <w:r w:rsidR="004A12AC" w:rsidRPr="008C0160">
        <w:t>Toxicokinetics</w:t>
      </w:r>
      <w:bookmarkEnd w:id="131"/>
      <w:bookmarkEnd w:id="132"/>
      <w:bookmarkEnd w:id="133"/>
      <w:bookmarkEnd w:id="134"/>
    </w:p>
    <w:p w14:paraId="49645A05" w14:textId="77777777" w:rsidR="004A12AC" w:rsidRPr="008C0160" w:rsidRDefault="004A12AC" w:rsidP="004A12AC">
      <w:pPr>
        <w:rPr>
          <w:lang w:eastAsia="en-AU" w:bidi="ar-SA"/>
        </w:rPr>
      </w:pPr>
      <w:r w:rsidRPr="008C0160">
        <w:rPr>
          <w:lang w:eastAsia="en-AU" w:bidi="ar-SA"/>
        </w:rPr>
        <w:t xml:space="preserve">Because </w:t>
      </w:r>
      <w:r w:rsidR="00507D3C" w:rsidRPr="008C0160">
        <w:rPr>
          <w:lang w:eastAsia="en-AU" w:bidi="ar-SA"/>
        </w:rPr>
        <w:t>PVI/PVP</w:t>
      </w:r>
      <w:r w:rsidRPr="008C0160">
        <w:rPr>
          <w:lang w:eastAsia="en-AU" w:bidi="ar-SA"/>
        </w:rPr>
        <w:t xml:space="preserve"> is an insoluble copolymer, absorption from the gastrointestinal tract would be negligible. </w:t>
      </w:r>
    </w:p>
    <w:p w14:paraId="29DE5493" w14:textId="77777777" w:rsidR="004A12AC" w:rsidRPr="008C0160" w:rsidRDefault="004A12AC" w:rsidP="004A12AC">
      <w:pPr>
        <w:rPr>
          <w:lang w:eastAsia="en-AU" w:bidi="ar-SA"/>
        </w:rPr>
      </w:pPr>
    </w:p>
    <w:p w14:paraId="515F4E50" w14:textId="77777777" w:rsidR="004A12AC" w:rsidRPr="008C0160" w:rsidRDefault="004A12AC" w:rsidP="00C665B2">
      <w:pPr>
        <w:rPr>
          <w:lang w:eastAsia="en-AU" w:bidi="ar-SA"/>
        </w:rPr>
      </w:pPr>
      <w:r w:rsidRPr="008C0160">
        <w:rPr>
          <w:lang w:eastAsia="en-AU" w:bidi="ar-SA"/>
        </w:rPr>
        <w:t xml:space="preserve">Analysis of a wine model solution </w:t>
      </w:r>
      <w:r w:rsidR="00334391">
        <w:rPr>
          <w:lang w:eastAsia="en-AU" w:bidi="ar-SA"/>
        </w:rPr>
        <w:t xml:space="preserve">by Schubert and Glomb (2010) </w:t>
      </w:r>
      <w:r w:rsidRPr="008C0160">
        <w:rPr>
          <w:lang w:eastAsia="en-AU" w:bidi="ar-SA"/>
        </w:rPr>
        <w:t xml:space="preserve">after fining with PVI/PVP did not reveal detectable quantities of 2-pyrrolidone, but did reveal 18 </w:t>
      </w:r>
      <w:r w:rsidRPr="008C0160">
        <w:rPr>
          <w:rFonts w:cs="Arial"/>
          <w:lang w:eastAsia="en-AU" w:bidi="ar-SA"/>
        </w:rPr>
        <w:t>µ</w:t>
      </w:r>
      <w:r w:rsidRPr="008C0160">
        <w:rPr>
          <w:lang w:eastAsia="en-AU" w:bidi="ar-SA"/>
        </w:rPr>
        <w:t>g/L imidazole</w:t>
      </w:r>
      <w:r w:rsidR="00B54AC1">
        <w:rPr>
          <w:lang w:eastAsia="en-AU" w:bidi="ar-SA"/>
        </w:rPr>
        <w:t xml:space="preserve">, which </w:t>
      </w:r>
      <w:r w:rsidR="00B05A6A">
        <w:rPr>
          <w:lang w:eastAsia="en-AU" w:bidi="ar-SA"/>
        </w:rPr>
        <w:lastRenderedPageBreak/>
        <w:t xml:space="preserve">is a </w:t>
      </w:r>
      <w:r w:rsidR="00B54AC1">
        <w:rPr>
          <w:lang w:eastAsia="en-AU" w:bidi="ar-SA"/>
        </w:rPr>
        <w:t>degradation product in wine</w:t>
      </w:r>
      <w:r w:rsidRPr="008C0160">
        <w:rPr>
          <w:lang w:eastAsia="en-AU" w:bidi="ar-SA"/>
        </w:rPr>
        <w:t xml:space="preserve">. </w:t>
      </w:r>
      <w:r w:rsidR="00334391">
        <w:rPr>
          <w:lang w:eastAsia="en-AU" w:bidi="ar-SA"/>
        </w:rPr>
        <w:t>Other degradation products for which the wine was analysed were N-vinylimidazole and</w:t>
      </w:r>
      <w:r w:rsidR="00334391" w:rsidRPr="00334391">
        <w:rPr>
          <w:lang w:eastAsia="en-AU" w:bidi="ar-SA"/>
        </w:rPr>
        <w:t xml:space="preserve"> N-vinyl-2-pyrrolidone</w:t>
      </w:r>
      <w:r w:rsidR="00334391">
        <w:rPr>
          <w:lang w:eastAsia="en-AU" w:bidi="ar-SA"/>
        </w:rPr>
        <w:t xml:space="preserve">. </w:t>
      </w:r>
      <w:r w:rsidR="00C665B2">
        <w:rPr>
          <w:lang w:eastAsia="en-AU" w:bidi="ar-SA"/>
        </w:rPr>
        <w:t xml:space="preserve">The OIV specification for PVI/PVP sets limits for these and other </w:t>
      </w:r>
      <w:r w:rsidR="00C665B2" w:rsidRPr="00C665B2">
        <w:rPr>
          <w:lang w:eastAsia="en-AU" w:bidi="ar-SA"/>
        </w:rPr>
        <w:t>degradation products</w:t>
      </w:r>
      <w:r w:rsidR="00C665B2">
        <w:rPr>
          <w:lang w:eastAsia="en-AU" w:bidi="ar-SA"/>
        </w:rPr>
        <w:t>; vinylpyrrolidone &lt; than 5 mg/kg, vinylimidazole &lt; 10 mg/kg, divinylimidazolidinone &lt; 2 mg/kg, pyrrolidone &lt; 50 mg/kg and imidazole &lt; 50 mg/kg.</w:t>
      </w:r>
      <w:r w:rsidR="00C665B2" w:rsidRPr="008C0160">
        <w:rPr>
          <w:lang w:eastAsia="en-AU" w:bidi="ar-SA"/>
        </w:rPr>
        <w:t xml:space="preserve"> </w:t>
      </w:r>
      <w:r w:rsidRPr="008C0160">
        <w:rPr>
          <w:lang w:eastAsia="en-AU" w:bidi="ar-SA"/>
        </w:rPr>
        <w:t xml:space="preserve">Analysis of 140 wines revealed that 2-pyrrolidone is a natural constituent of wine in any case. The immediate precursors of this naturally occurring 2-pyrrolidone are 4-aminobutyramide and 4-aminobutyric acid (Schubert and Glomb 2010). In light of these findings, consideration of the safety of imidazole is included in this hazard assessment. </w:t>
      </w:r>
    </w:p>
    <w:p w14:paraId="504C34C5" w14:textId="77777777" w:rsidR="004A12AC" w:rsidRPr="008C0160" w:rsidRDefault="004A12AC" w:rsidP="004A12AC">
      <w:pPr>
        <w:rPr>
          <w:lang w:eastAsia="en-AU" w:bidi="ar-SA"/>
        </w:rPr>
      </w:pPr>
    </w:p>
    <w:p w14:paraId="16913E03" w14:textId="77777777" w:rsidR="004A12AC" w:rsidRPr="008C0160" w:rsidRDefault="004A12AC" w:rsidP="004A12AC">
      <w:pPr>
        <w:rPr>
          <w:lang w:eastAsia="en-AU" w:bidi="ar-SA"/>
        </w:rPr>
      </w:pPr>
      <w:r w:rsidRPr="008C0160">
        <w:rPr>
          <w:lang w:eastAsia="en-AU" w:bidi="ar-SA"/>
        </w:rPr>
        <w:t xml:space="preserve">It is not clear whether the copolymer can be </w:t>
      </w:r>
      <w:r w:rsidR="00B05A6A">
        <w:rPr>
          <w:lang w:eastAsia="en-AU" w:bidi="ar-SA"/>
        </w:rPr>
        <w:t>degraded</w:t>
      </w:r>
      <w:r w:rsidR="00B05A6A" w:rsidRPr="008C0160">
        <w:rPr>
          <w:lang w:eastAsia="en-AU" w:bidi="ar-SA"/>
        </w:rPr>
        <w:t xml:space="preserve"> </w:t>
      </w:r>
      <w:r w:rsidRPr="008C0160">
        <w:rPr>
          <w:lang w:eastAsia="en-AU" w:bidi="ar-SA"/>
        </w:rPr>
        <w:t xml:space="preserve">into the polymers in the gastrointestinal lumen. No information was located on whether PVI can be absorbed, but absorption of PVP from the gastrointestinal tract is negligible (Gosselin et al 1976; Robinson et al 1990, as cited by BASF 1998). </w:t>
      </w:r>
    </w:p>
    <w:p w14:paraId="5D04C7C3" w14:textId="77777777" w:rsidR="004A12AC" w:rsidRPr="008C0160" w:rsidRDefault="00AF1D64" w:rsidP="0017617B">
      <w:pPr>
        <w:pStyle w:val="Heading3"/>
      </w:pPr>
      <w:bookmarkStart w:id="135" w:name="_Toc470073481"/>
      <w:bookmarkStart w:id="136" w:name="_Toc472668706"/>
      <w:bookmarkStart w:id="137" w:name="_Toc476908595"/>
      <w:bookmarkStart w:id="138" w:name="_Toc478375816"/>
      <w:r w:rsidRPr="008C0160">
        <w:t>3.2</w:t>
      </w:r>
      <w:r w:rsidRPr="008C0160">
        <w:tab/>
      </w:r>
      <w:r w:rsidR="004A12AC" w:rsidRPr="008C0160">
        <w:t>Genotoxicity studies and animal studies</w:t>
      </w:r>
      <w:bookmarkEnd w:id="135"/>
      <w:bookmarkEnd w:id="136"/>
      <w:bookmarkEnd w:id="137"/>
      <w:bookmarkEnd w:id="138"/>
    </w:p>
    <w:p w14:paraId="1B707968" w14:textId="77777777" w:rsidR="004A12AC" w:rsidRPr="008C0160" w:rsidRDefault="004A12AC" w:rsidP="004A12AC">
      <w:pPr>
        <w:rPr>
          <w:lang w:eastAsia="en-AU" w:bidi="ar-SA"/>
        </w:rPr>
      </w:pPr>
      <w:r w:rsidRPr="008C0160">
        <w:rPr>
          <w:lang w:eastAsia="en-AU" w:bidi="ar-SA"/>
        </w:rPr>
        <w:t xml:space="preserve">No studies of the genotoxicity of PVI/PVP, or toxicity studies in laboratory animals, were submitted or located. </w:t>
      </w:r>
    </w:p>
    <w:p w14:paraId="44EE3E08" w14:textId="77777777" w:rsidR="004A12AC" w:rsidRPr="008C0160" w:rsidRDefault="004A12AC" w:rsidP="004A12AC">
      <w:pPr>
        <w:rPr>
          <w:lang w:eastAsia="en-AU" w:bidi="ar-SA"/>
        </w:rPr>
      </w:pPr>
    </w:p>
    <w:p w14:paraId="02CE9C0A" w14:textId="77777777" w:rsidR="004A12AC" w:rsidRPr="008C0160" w:rsidRDefault="004A12AC" w:rsidP="004A12AC">
      <w:pPr>
        <w:rPr>
          <w:lang w:eastAsia="en-AU" w:bidi="ar-SA"/>
        </w:rPr>
      </w:pPr>
      <w:r w:rsidRPr="008C0160">
        <w:rPr>
          <w:lang w:eastAsia="en-AU" w:bidi="ar-SA"/>
        </w:rPr>
        <w:t>The Enartis Safety Data Sheet for STABYL-PVI/PVP (copolymer of vinylimidazole and vinylpyrrolidone) states the acute oral LD</w:t>
      </w:r>
      <w:r w:rsidRPr="008C0160">
        <w:rPr>
          <w:vertAlign w:val="subscript"/>
          <w:lang w:eastAsia="en-AU" w:bidi="ar-SA"/>
        </w:rPr>
        <w:t>50</w:t>
      </w:r>
      <w:r w:rsidRPr="008C0160">
        <w:rPr>
          <w:lang w:eastAsia="en-AU" w:bidi="ar-SA"/>
        </w:rPr>
        <w:t xml:space="preserve"> in the rat is &gt; 2000 mg/kg (Enartis 2015). </w:t>
      </w:r>
    </w:p>
    <w:p w14:paraId="4B44EB06" w14:textId="77777777" w:rsidR="004A12AC" w:rsidRPr="008C0160" w:rsidRDefault="004A12AC" w:rsidP="004A12AC">
      <w:pPr>
        <w:rPr>
          <w:lang w:eastAsia="en-AU" w:bidi="ar-SA"/>
        </w:rPr>
      </w:pPr>
    </w:p>
    <w:p w14:paraId="2DF91249" w14:textId="77777777" w:rsidR="004A12AC" w:rsidRPr="008C0160" w:rsidRDefault="004A12AC" w:rsidP="004A12AC">
      <w:pPr>
        <w:rPr>
          <w:lang w:eastAsia="en-AU" w:bidi="ar-SA"/>
        </w:rPr>
      </w:pPr>
      <w:r w:rsidRPr="008C0160">
        <w:rPr>
          <w:lang w:eastAsia="en-AU" w:bidi="ar-SA"/>
        </w:rPr>
        <w:t>The BASF Safety Data Sheet for 1-vinylimidazole reports that the acute oral LD</w:t>
      </w:r>
      <w:r w:rsidRPr="008700F3">
        <w:rPr>
          <w:vertAlign w:val="subscript"/>
          <w:lang w:eastAsia="en-AU" w:bidi="ar-SA"/>
        </w:rPr>
        <w:t>50</w:t>
      </w:r>
      <w:r w:rsidRPr="008C0160">
        <w:rPr>
          <w:lang w:eastAsia="en-AU" w:bidi="ar-SA"/>
        </w:rPr>
        <w:t xml:space="preserve"> in the rat is 1040 mg/kg. Additional information in the Safety Data Sheet includes that 1-vinylimidazole is not mutagenic in bacteria or mammalian cell culture; that it is predicted to be an ocular irritant on the basis of the Hen’s Egg Test – Chorioallantoic Membrane (HET-CAM) assay but is not irritating or sensitising to the skin in animals; that repeated doses at high levels may be hepatotoxic; and that it is not a reproductive toxicant but may cause developmental effects at maternally toxic doses (BASF 2016).</w:t>
      </w:r>
    </w:p>
    <w:p w14:paraId="473F417A" w14:textId="77777777" w:rsidR="004A12AC" w:rsidRPr="008C0160" w:rsidRDefault="004A12AC" w:rsidP="004A12AC">
      <w:pPr>
        <w:rPr>
          <w:lang w:eastAsia="en-AU" w:bidi="ar-SA"/>
        </w:rPr>
      </w:pPr>
    </w:p>
    <w:p w14:paraId="60BFBFAF" w14:textId="77777777" w:rsidR="004A12AC" w:rsidRPr="008C0160" w:rsidRDefault="004A12AC" w:rsidP="004A12AC">
      <w:pPr>
        <w:rPr>
          <w:lang w:eastAsia="en-AU" w:bidi="ar-SA"/>
        </w:rPr>
      </w:pPr>
      <w:r w:rsidRPr="008C0160">
        <w:rPr>
          <w:lang w:eastAsia="en-AU" w:bidi="ar-SA"/>
        </w:rPr>
        <w:t>Some imidazole derivatives have been found to be mutagenic and genotoxic, but these properties are confined to the nitroimidazoles (De M</w:t>
      </w:r>
      <w:r w:rsidRPr="008C0160">
        <w:rPr>
          <w:rFonts w:cs="Arial"/>
          <w:lang w:eastAsia="en-AU" w:bidi="ar-SA"/>
        </w:rPr>
        <w:t>é</w:t>
      </w:r>
      <w:r w:rsidRPr="008C0160">
        <w:rPr>
          <w:lang w:eastAsia="en-AU" w:bidi="ar-SA"/>
        </w:rPr>
        <w:t xml:space="preserve">o et al. 1992; Ebel et al. 2012). </w:t>
      </w:r>
    </w:p>
    <w:p w14:paraId="372978A9" w14:textId="77777777" w:rsidR="004A12AC" w:rsidRPr="008C0160" w:rsidRDefault="004A12AC" w:rsidP="004A12AC">
      <w:pPr>
        <w:rPr>
          <w:lang w:eastAsia="en-AU" w:bidi="ar-SA"/>
        </w:rPr>
      </w:pPr>
    </w:p>
    <w:p w14:paraId="4D06CE4D" w14:textId="77777777" w:rsidR="004A12AC" w:rsidRPr="008C0160" w:rsidRDefault="004A12AC" w:rsidP="004A12AC">
      <w:pPr>
        <w:rPr>
          <w:lang w:eastAsia="en-AU" w:bidi="ar-SA"/>
        </w:rPr>
      </w:pPr>
      <w:r w:rsidRPr="008C0160">
        <w:rPr>
          <w:lang w:eastAsia="en-AU" w:bidi="ar-SA"/>
        </w:rPr>
        <w:t>The acute oral LD</w:t>
      </w:r>
      <w:r w:rsidRPr="008C0160">
        <w:rPr>
          <w:vertAlign w:val="subscript"/>
          <w:lang w:eastAsia="en-AU" w:bidi="ar-SA"/>
        </w:rPr>
        <w:t>50</w:t>
      </w:r>
      <w:r w:rsidRPr="008C0160">
        <w:rPr>
          <w:lang w:eastAsia="en-AU" w:bidi="ar-SA"/>
        </w:rPr>
        <w:t xml:space="preserve"> of imidazole in the rat is 970 mg/kg bw (Ebel et al. 2012). Clinical signs in acute poisoning are those of central nervous system stimulation, and include agitation, tremor, ataxia, convulsions and opisthotonus. Ebel et al. (2012) cited an unpublished 28-day repeat-dose oral gavage rat study by BASF that found a NOEL of imidazole of 62.5 mg/kg bw</w:t>
      </w:r>
      <w:r w:rsidR="004E21B3">
        <w:rPr>
          <w:lang w:eastAsia="en-AU" w:bidi="ar-SA"/>
        </w:rPr>
        <w:t>/day.</w:t>
      </w:r>
      <w:r w:rsidRPr="008C0160">
        <w:rPr>
          <w:lang w:eastAsia="en-AU" w:bidi="ar-SA"/>
        </w:rPr>
        <w:t xml:space="preserve"> Higher doses, up to 500 mg/kg bw/d, were associated with increased liver weight, which may have been an adaptive change. </w:t>
      </w:r>
    </w:p>
    <w:p w14:paraId="192530D3" w14:textId="77777777" w:rsidR="004A12AC" w:rsidRPr="008C0160" w:rsidRDefault="00AF1D64" w:rsidP="0017617B">
      <w:pPr>
        <w:pStyle w:val="Heading3"/>
      </w:pPr>
      <w:bookmarkStart w:id="139" w:name="_Toc470073482"/>
      <w:bookmarkStart w:id="140" w:name="_Toc472668707"/>
      <w:bookmarkStart w:id="141" w:name="_Toc476908596"/>
      <w:bookmarkStart w:id="142" w:name="_Toc478375817"/>
      <w:r w:rsidRPr="008C0160">
        <w:t>3.3</w:t>
      </w:r>
      <w:r w:rsidRPr="008C0160">
        <w:tab/>
      </w:r>
      <w:r w:rsidR="004A12AC" w:rsidRPr="008C0160">
        <w:t>Human Studies</w:t>
      </w:r>
      <w:bookmarkEnd w:id="139"/>
      <w:bookmarkEnd w:id="140"/>
      <w:bookmarkEnd w:id="141"/>
      <w:bookmarkEnd w:id="142"/>
    </w:p>
    <w:p w14:paraId="42CEC1C1" w14:textId="77777777" w:rsidR="004A12AC" w:rsidRPr="008C0160" w:rsidRDefault="004A12AC" w:rsidP="004A12AC">
      <w:pPr>
        <w:rPr>
          <w:lang w:eastAsia="en-AU" w:bidi="ar-SA"/>
        </w:rPr>
      </w:pPr>
      <w:r w:rsidRPr="008C0160">
        <w:rPr>
          <w:lang w:eastAsia="en-AU" w:bidi="ar-SA"/>
        </w:rPr>
        <w:t xml:space="preserve">No studies of the safety of PVI/PVP in human beings were submitted or located. </w:t>
      </w:r>
    </w:p>
    <w:p w14:paraId="10EBDE4F" w14:textId="77777777" w:rsidR="004A12AC" w:rsidRPr="008C0160" w:rsidRDefault="004A12AC" w:rsidP="004A12AC">
      <w:pPr>
        <w:rPr>
          <w:lang w:eastAsia="en-AU" w:bidi="ar-SA"/>
        </w:rPr>
      </w:pPr>
    </w:p>
    <w:p w14:paraId="43BC4455" w14:textId="77777777" w:rsidR="004A12AC" w:rsidRPr="008C0160" w:rsidRDefault="004A12AC" w:rsidP="004A12AC">
      <w:pPr>
        <w:rPr>
          <w:lang w:eastAsia="en-AU" w:bidi="ar-SA"/>
        </w:rPr>
      </w:pPr>
      <w:r w:rsidRPr="008C0160">
        <w:rPr>
          <w:lang w:eastAsia="en-AU" w:bidi="ar-SA"/>
        </w:rPr>
        <w:t xml:space="preserve">PVP is considered to be practically non-toxic in human beings. The oral lethal dose in humans is estimated to be above 15 g/kg bw. </w:t>
      </w:r>
    </w:p>
    <w:p w14:paraId="28963D3C" w14:textId="77777777" w:rsidR="004A12AC" w:rsidRPr="008C0160" w:rsidRDefault="004A12AC" w:rsidP="004A12AC">
      <w:pPr>
        <w:rPr>
          <w:lang w:eastAsia="en-AU" w:bidi="ar-SA"/>
        </w:rPr>
      </w:pPr>
    </w:p>
    <w:p w14:paraId="26B7DDCC" w14:textId="77777777" w:rsidR="004A12AC" w:rsidRPr="0017617B" w:rsidRDefault="004A12AC" w:rsidP="004A12AC">
      <w:pPr>
        <w:rPr>
          <w:rFonts w:cs="Arial"/>
          <w:sz w:val="18"/>
          <w:szCs w:val="18"/>
          <w:bdr w:val="none" w:sz="0" w:space="0" w:color="auto" w:frame="1"/>
          <w:shd w:val="clear" w:color="auto" w:fill="F7F7F9"/>
        </w:rPr>
      </w:pPr>
      <w:r w:rsidRPr="008C0160">
        <w:rPr>
          <w:lang w:eastAsia="en-AU" w:bidi="ar-SA"/>
        </w:rPr>
        <w:t>No studies of the safety of PVI in human beings were submitted or located.</w:t>
      </w:r>
    </w:p>
    <w:p w14:paraId="76C49B05" w14:textId="77777777" w:rsidR="004A12AC" w:rsidRPr="008C0160" w:rsidRDefault="00AF1D64" w:rsidP="0017617B">
      <w:pPr>
        <w:pStyle w:val="Heading3"/>
      </w:pPr>
      <w:bookmarkStart w:id="143" w:name="_Toc470073483"/>
      <w:bookmarkStart w:id="144" w:name="_Toc472668708"/>
      <w:bookmarkStart w:id="145" w:name="_Toc476908597"/>
      <w:bookmarkStart w:id="146" w:name="_Toc478375818"/>
      <w:r w:rsidRPr="008C0160">
        <w:t>3.4</w:t>
      </w:r>
      <w:r w:rsidRPr="008C0160">
        <w:tab/>
      </w:r>
      <w:r w:rsidR="004A12AC" w:rsidRPr="008C0160">
        <w:t>Assessments by other regulatory agencies</w:t>
      </w:r>
      <w:bookmarkEnd w:id="143"/>
      <w:bookmarkEnd w:id="144"/>
      <w:bookmarkEnd w:id="145"/>
      <w:bookmarkEnd w:id="146"/>
    </w:p>
    <w:p w14:paraId="6F7C0CB2" w14:textId="77777777" w:rsidR="004A12AC" w:rsidRPr="008C0160" w:rsidRDefault="004A12AC" w:rsidP="004A12AC">
      <w:pPr>
        <w:rPr>
          <w:lang w:eastAsia="en-AU" w:bidi="ar-SA"/>
        </w:rPr>
      </w:pPr>
      <w:r w:rsidRPr="0017617B">
        <w:rPr>
          <w:lang w:eastAsia="en-AU" w:bidi="ar-SA"/>
        </w:rPr>
        <w:t>Polyvinylpyrrolidone-vinyl acetate (</w:t>
      </w:r>
      <w:r w:rsidRPr="008C0160">
        <w:rPr>
          <w:lang w:eastAsia="en-AU" w:bidi="ar-SA"/>
        </w:rPr>
        <w:t xml:space="preserve">PVP/VA) copolymer has been assessed by the EFSA Panel on Food Additives and Nutrient Sources added to Food. The Panel concluded that the database is insufficient to </w:t>
      </w:r>
      <w:r w:rsidR="00142908">
        <w:rPr>
          <w:lang w:eastAsia="en-AU" w:bidi="ar-SA"/>
        </w:rPr>
        <w:t>establish</w:t>
      </w:r>
      <w:r w:rsidR="00142908" w:rsidRPr="008C0160">
        <w:rPr>
          <w:lang w:eastAsia="en-AU" w:bidi="ar-SA"/>
        </w:rPr>
        <w:t xml:space="preserve"> </w:t>
      </w:r>
      <w:r w:rsidRPr="008C0160">
        <w:rPr>
          <w:lang w:eastAsia="en-AU" w:bidi="ar-SA"/>
        </w:rPr>
        <w:t xml:space="preserve">an ADI. </w:t>
      </w:r>
      <w:r w:rsidR="0017617B" w:rsidRPr="008C0160">
        <w:rPr>
          <w:lang w:eastAsia="en-AU" w:bidi="ar-SA"/>
        </w:rPr>
        <w:t>However,</w:t>
      </w:r>
      <w:r w:rsidRPr="008C0160">
        <w:rPr>
          <w:lang w:eastAsia="en-AU" w:bidi="ar-SA"/>
        </w:rPr>
        <w:t xml:space="preserve"> the Panel calculated a Margin of </w:t>
      </w:r>
      <w:r w:rsidRPr="008C0160">
        <w:rPr>
          <w:lang w:eastAsia="en-AU" w:bidi="ar-SA"/>
        </w:rPr>
        <w:lastRenderedPageBreak/>
        <w:t>Safety (MOS) from 43 to 120 for adults and from 63 to 175 for children. These MOS were considered to be sufficient, given the lack of absorption of PVP/VA, the fact that the NOAELs were the highest doses tested and that exposure estimates are based on worst case assumptions. From the maximum residual levels of vinyl acetate, Margins of Exposure (MOE) of &gt; 106 were calculated, while the MOE for hydrazine were above 10000. The Panel concluded that the residual levels of hydrazine (up to a maximum of 1.0 mg/kg in the final product) are unlikely to be of safety concern, but considered it would be prudent to lower the level of hydrazine as far as reasonably achievable. The Panel concluded that the use of PVP/VA copolymer in solid food supplements as a binding/coating agent is unlikely to be of safety concern at the proposed uses (EFSA 2010).</w:t>
      </w:r>
    </w:p>
    <w:p w14:paraId="04FFE880" w14:textId="77777777" w:rsidR="004A12AC" w:rsidRPr="008C0160" w:rsidRDefault="004A12AC" w:rsidP="004A12AC">
      <w:pPr>
        <w:rPr>
          <w:lang w:eastAsia="en-AU" w:bidi="ar-SA"/>
        </w:rPr>
      </w:pPr>
    </w:p>
    <w:p w14:paraId="68873643" w14:textId="77777777" w:rsidR="00AB2C77" w:rsidRDefault="004A12AC" w:rsidP="004A12AC">
      <w:pPr>
        <w:rPr>
          <w:lang w:eastAsia="en-AU" w:bidi="ar-SA"/>
        </w:rPr>
      </w:pPr>
      <w:r w:rsidRPr="008C0160">
        <w:rPr>
          <w:lang w:eastAsia="en-AU" w:bidi="ar-SA"/>
        </w:rPr>
        <w:t>PVP has been evaluated by JECFA in 1966, 1973, 1983, and most recently in 1986, and is</w:t>
      </w:r>
      <w:r w:rsidR="00F20905">
        <w:rPr>
          <w:lang w:eastAsia="en-AU" w:bidi="ar-SA"/>
        </w:rPr>
        <w:t xml:space="preserve"> currently assigned an ADI of 0–</w:t>
      </w:r>
      <w:r w:rsidRPr="008C0160">
        <w:rPr>
          <w:lang w:eastAsia="en-AU" w:bidi="ar-SA"/>
        </w:rPr>
        <w:t xml:space="preserve">50 mg/kg bw (WHO, 1987).  </w:t>
      </w:r>
    </w:p>
    <w:p w14:paraId="26399849" w14:textId="77777777" w:rsidR="00AB2C77" w:rsidRDefault="00AB2C77" w:rsidP="00AB2C77">
      <w:pPr>
        <w:pStyle w:val="Heading3"/>
      </w:pPr>
      <w:bookmarkStart w:id="147" w:name="_Toc478375819"/>
      <w:r>
        <w:t>3.5</w:t>
      </w:r>
      <w:r w:rsidRPr="008C0160">
        <w:tab/>
      </w:r>
      <w:r>
        <w:t>Hazard assessment</w:t>
      </w:r>
      <w:r w:rsidRPr="008C0160">
        <w:t xml:space="preserve"> </w:t>
      </w:r>
      <w:r>
        <w:t>conclusion</w:t>
      </w:r>
      <w:bookmarkEnd w:id="147"/>
    </w:p>
    <w:p w14:paraId="0A93EA3C" w14:textId="77777777" w:rsidR="00111E3A" w:rsidRPr="008C0160" w:rsidRDefault="00111E3A" w:rsidP="00111E3A">
      <w:pPr>
        <w:rPr>
          <w:lang w:bidi="ar-SA"/>
        </w:rPr>
      </w:pPr>
      <w:r>
        <w:rPr>
          <w:lang w:bidi="ar-SA"/>
        </w:rPr>
        <w:t>A</w:t>
      </w:r>
      <w:r w:rsidRPr="008C0160">
        <w:rPr>
          <w:lang w:bidi="ar-SA"/>
        </w:rPr>
        <w:t xml:space="preserve">bsorption </w:t>
      </w:r>
      <w:r>
        <w:rPr>
          <w:lang w:bidi="ar-SA"/>
        </w:rPr>
        <w:t xml:space="preserve">of PVI/PVP </w:t>
      </w:r>
      <w:r w:rsidRPr="008C0160">
        <w:rPr>
          <w:lang w:bidi="ar-SA"/>
        </w:rPr>
        <w:t xml:space="preserve">from the gastrointestinal tract would be expected to be negligible, and information on acute toxicity in the rat indicates that toxicity is very low. </w:t>
      </w:r>
    </w:p>
    <w:p w14:paraId="678DBEBC" w14:textId="77777777" w:rsidR="00111E3A" w:rsidRPr="008C0160" w:rsidRDefault="00111E3A" w:rsidP="00111E3A">
      <w:pPr>
        <w:rPr>
          <w:lang w:bidi="ar-SA"/>
        </w:rPr>
      </w:pPr>
    </w:p>
    <w:p w14:paraId="43DB2251" w14:textId="77777777" w:rsidR="00111E3A" w:rsidRPr="008C0160" w:rsidRDefault="00111E3A" w:rsidP="00111E3A">
      <w:pPr>
        <w:rPr>
          <w:lang w:eastAsia="en-AU" w:bidi="ar-SA"/>
        </w:rPr>
      </w:pPr>
      <w:r w:rsidRPr="008C0160">
        <w:rPr>
          <w:lang w:bidi="ar-SA"/>
        </w:rPr>
        <w:t xml:space="preserve">Potential breakdown products of PVI/PVP are PVI, PVP, 2-pyrrolidone and imidazole. There is a lack of information on the potential toxicity of PVI, but animal toxicity data for 1-vinylimidazole and imidazole indicate that they are of low toxicity. </w:t>
      </w:r>
      <w:r w:rsidRPr="008C0160">
        <w:rPr>
          <w:lang w:eastAsia="en-AU" w:bidi="ar-SA"/>
        </w:rPr>
        <w:t>PVP is widely used in the pharmaceutical industry and absorption from the gastrointestinal tract is negligible. PVP is considered to be practically nontoxic in human beings. JEC</w:t>
      </w:r>
      <w:r w:rsidR="00F20905">
        <w:rPr>
          <w:lang w:eastAsia="en-AU" w:bidi="ar-SA"/>
        </w:rPr>
        <w:t>FA has set an ADI of 0–50 mg/kg </w:t>
      </w:r>
      <w:r w:rsidRPr="008C0160">
        <w:rPr>
          <w:lang w:eastAsia="en-AU" w:bidi="ar-SA"/>
        </w:rPr>
        <w:t xml:space="preserve">bw for PVP. No information was located to suggest that PVI/PVP or its breakdown products pose a genotoxic hazard. PVI/PVP has been permitted for use in wine in the EU since 2009. </w:t>
      </w:r>
      <w:r w:rsidRPr="0017617B">
        <w:rPr>
          <w:rFonts w:cs="Arial"/>
          <w:color w:val="4BACC6" w:themeColor="accent5"/>
          <w:sz w:val="18"/>
          <w:szCs w:val="18"/>
        </w:rPr>
        <w:br/>
      </w:r>
    </w:p>
    <w:p w14:paraId="48C0461B" w14:textId="77777777" w:rsidR="00111E3A" w:rsidRPr="008C0160" w:rsidRDefault="00111E3A" w:rsidP="00111E3A">
      <w:pPr>
        <w:rPr>
          <w:lang w:bidi="ar-SA"/>
        </w:rPr>
      </w:pPr>
      <w:r w:rsidRPr="008C0160">
        <w:rPr>
          <w:lang w:eastAsia="en-AU" w:bidi="ar-SA"/>
        </w:rPr>
        <w:t>There is insufficient information to establish an ADI for PVI/PVP. However, it is concluded that PVI/PVP does not pose a hazard to consumers under the proposed conditions of use</w:t>
      </w:r>
      <w:r>
        <w:rPr>
          <w:lang w:eastAsia="en-AU" w:bidi="ar-SA"/>
        </w:rPr>
        <w:t xml:space="preserve">. </w:t>
      </w:r>
    </w:p>
    <w:p w14:paraId="134E5AFE" w14:textId="77777777" w:rsidR="00AB2C77" w:rsidRPr="008C0160" w:rsidRDefault="00AB2C77" w:rsidP="004A12AC">
      <w:pPr>
        <w:rPr>
          <w:lang w:eastAsia="en-AU" w:bidi="ar-SA"/>
        </w:rPr>
      </w:pPr>
    </w:p>
    <w:p w14:paraId="40058C4E" w14:textId="77777777" w:rsidR="00DA09BF" w:rsidRDefault="00DA09BF" w:rsidP="00DA09BF">
      <w:pPr>
        <w:pStyle w:val="Heading2"/>
      </w:pPr>
      <w:bookmarkStart w:id="148" w:name="_Toc476908598"/>
      <w:bookmarkStart w:id="149" w:name="_Toc478375820"/>
      <w:bookmarkStart w:id="150" w:name="_Toc470073484"/>
      <w:bookmarkStart w:id="151" w:name="_Toc472668709"/>
      <w:r>
        <w:t>4</w:t>
      </w:r>
      <w:r w:rsidRPr="008C0160">
        <w:tab/>
      </w:r>
      <w:r>
        <w:t>Dietary exposure</w:t>
      </w:r>
      <w:r w:rsidRPr="008C0160">
        <w:t xml:space="preserve"> assessment</w:t>
      </w:r>
      <w:bookmarkEnd w:id="148"/>
      <w:bookmarkEnd w:id="149"/>
      <w:r w:rsidRPr="008C0160">
        <w:t xml:space="preserve"> </w:t>
      </w:r>
    </w:p>
    <w:p w14:paraId="2FE4517F" w14:textId="77777777" w:rsidR="00DA09BF" w:rsidRDefault="00DA09BF" w:rsidP="00DA09BF">
      <w:pPr>
        <w:rPr>
          <w:lang w:bidi="ar-SA"/>
        </w:rPr>
      </w:pPr>
      <w:r>
        <w:rPr>
          <w:lang w:bidi="ar-SA"/>
        </w:rPr>
        <w:t xml:space="preserve">A </w:t>
      </w:r>
      <w:r w:rsidRPr="00477DA5">
        <w:rPr>
          <w:lang w:bidi="ar-SA"/>
        </w:rPr>
        <w:t xml:space="preserve">dietary exposure assessment was </w:t>
      </w:r>
      <w:r>
        <w:rPr>
          <w:lang w:bidi="ar-SA"/>
        </w:rPr>
        <w:t xml:space="preserve">not </w:t>
      </w:r>
      <w:r w:rsidRPr="00477DA5">
        <w:rPr>
          <w:lang w:bidi="ar-SA"/>
        </w:rPr>
        <w:t xml:space="preserve">conducted because </w:t>
      </w:r>
      <w:r>
        <w:rPr>
          <w:lang w:bidi="ar-SA"/>
        </w:rPr>
        <w:t xml:space="preserve">residual levels </w:t>
      </w:r>
      <w:r w:rsidR="00111E3A">
        <w:rPr>
          <w:lang w:bidi="ar-SA"/>
        </w:rPr>
        <w:t>of PVI/PVP</w:t>
      </w:r>
      <w:r w:rsidR="00035B7B">
        <w:rPr>
          <w:lang w:bidi="ar-SA"/>
        </w:rPr>
        <w:t xml:space="preserve"> and its degradation products </w:t>
      </w:r>
      <w:r>
        <w:rPr>
          <w:lang w:bidi="ar-SA"/>
        </w:rPr>
        <w:t>in wine</w:t>
      </w:r>
      <w:r w:rsidRPr="00477DA5">
        <w:rPr>
          <w:lang w:bidi="ar-SA"/>
        </w:rPr>
        <w:t xml:space="preserve"> </w:t>
      </w:r>
      <w:r w:rsidR="00035B7B">
        <w:rPr>
          <w:lang w:bidi="ar-SA"/>
        </w:rPr>
        <w:t>are expected to be negligible.</w:t>
      </w:r>
    </w:p>
    <w:p w14:paraId="651741B6" w14:textId="77777777" w:rsidR="00DA09BF" w:rsidRDefault="00DA09BF" w:rsidP="00DA09BF">
      <w:pPr>
        <w:rPr>
          <w:lang w:bidi="ar-SA"/>
        </w:rPr>
      </w:pPr>
    </w:p>
    <w:p w14:paraId="4840D562" w14:textId="77777777" w:rsidR="00DA09BF" w:rsidRDefault="00DA09BF" w:rsidP="00DA09BF">
      <w:pPr>
        <w:pStyle w:val="Heading2"/>
      </w:pPr>
      <w:bookmarkStart w:id="152" w:name="_Toc476908599"/>
      <w:bookmarkStart w:id="153" w:name="_Toc478375821"/>
      <w:r>
        <w:t>5</w:t>
      </w:r>
      <w:r w:rsidRPr="008C0160">
        <w:tab/>
      </w:r>
      <w:r>
        <w:t>Risk</w:t>
      </w:r>
      <w:r w:rsidRPr="008C0160">
        <w:t xml:space="preserve"> assessment</w:t>
      </w:r>
      <w:r>
        <w:t xml:space="preserve"> conclusion</w:t>
      </w:r>
      <w:bookmarkEnd w:id="152"/>
      <w:bookmarkEnd w:id="153"/>
    </w:p>
    <w:bookmarkEnd w:id="150"/>
    <w:bookmarkEnd w:id="151"/>
    <w:p w14:paraId="7A46EA83" w14:textId="77777777" w:rsidR="009404AC" w:rsidRPr="008C0160" w:rsidRDefault="00F20905">
      <w:pPr>
        <w:widowControl/>
        <w:rPr>
          <w:lang w:bidi="ar-SA"/>
        </w:rPr>
      </w:pPr>
      <w:r>
        <w:rPr>
          <w:lang w:bidi="ar-SA"/>
        </w:rPr>
        <w:t>The use of PVI/PVP</w:t>
      </w:r>
      <w:r w:rsidRPr="00F20905">
        <w:rPr>
          <w:lang w:bidi="ar-SA"/>
        </w:rPr>
        <w:t xml:space="preserve"> as a processing aid for the production of wine, as proposed in this Application, raises no public health and safety concerns.  </w:t>
      </w:r>
      <w:r w:rsidR="009404AC" w:rsidRPr="008C0160">
        <w:rPr>
          <w:lang w:bidi="ar-SA"/>
        </w:rPr>
        <w:br w:type="page"/>
      </w:r>
    </w:p>
    <w:p w14:paraId="0D9FA299" w14:textId="77777777" w:rsidR="009404AC" w:rsidRPr="008C0160" w:rsidRDefault="009404AC" w:rsidP="00006B4B">
      <w:pPr>
        <w:pStyle w:val="Heading1"/>
        <w:ind w:left="0" w:firstLine="0"/>
      </w:pPr>
      <w:bookmarkStart w:id="154" w:name="_Toc476908600"/>
      <w:bookmarkStart w:id="155" w:name="_Toc478375822"/>
      <w:bookmarkStart w:id="156" w:name="_Toc472668710"/>
      <w:r w:rsidRPr="008C0160">
        <w:lastRenderedPageBreak/>
        <w:t xml:space="preserve">Part C: </w:t>
      </w:r>
      <w:r w:rsidR="007D14A1" w:rsidRPr="008C0160">
        <w:t>Ammonium Bisulphite (</w:t>
      </w:r>
      <w:r w:rsidR="007D14A1">
        <w:t>Ammonium hydrogen sulphite</w:t>
      </w:r>
      <w:r w:rsidR="007D14A1" w:rsidRPr="008C0160">
        <w:t>)</w:t>
      </w:r>
      <w:bookmarkEnd w:id="154"/>
      <w:bookmarkEnd w:id="155"/>
      <w:r w:rsidRPr="008C0160">
        <w:t xml:space="preserve"> </w:t>
      </w:r>
      <w:bookmarkEnd w:id="156"/>
    </w:p>
    <w:p w14:paraId="402D7690" w14:textId="77777777" w:rsidR="00AF368C" w:rsidRPr="008C0160" w:rsidRDefault="00FE354D" w:rsidP="0017617B">
      <w:pPr>
        <w:pStyle w:val="Heading2"/>
      </w:pPr>
      <w:bookmarkStart w:id="157" w:name="_Toc472668711"/>
      <w:bookmarkStart w:id="158" w:name="_Toc476908601"/>
      <w:bookmarkStart w:id="159" w:name="_Toc478375823"/>
      <w:r w:rsidRPr="008C0160">
        <w:t>1</w:t>
      </w:r>
      <w:r w:rsidRPr="008C0160">
        <w:tab/>
      </w:r>
      <w:r w:rsidR="00AF368C" w:rsidRPr="008C0160">
        <w:t>Introduction</w:t>
      </w:r>
      <w:bookmarkEnd w:id="157"/>
      <w:bookmarkEnd w:id="158"/>
      <w:bookmarkEnd w:id="159"/>
    </w:p>
    <w:p w14:paraId="2B2A47E2" w14:textId="77777777" w:rsidR="00377665" w:rsidRPr="008C0160" w:rsidRDefault="00FE354D" w:rsidP="0017617B">
      <w:pPr>
        <w:pStyle w:val="Heading3"/>
      </w:pPr>
      <w:bookmarkStart w:id="160" w:name="_Toc472668712"/>
      <w:bookmarkStart w:id="161" w:name="_Toc476908602"/>
      <w:bookmarkStart w:id="162" w:name="_Toc478375824"/>
      <w:bookmarkStart w:id="163" w:name="_Toc466968557"/>
      <w:r w:rsidRPr="008C0160">
        <w:t>1.1</w:t>
      </w:r>
      <w:r w:rsidRPr="008C0160">
        <w:tab/>
      </w:r>
      <w:r w:rsidR="00377665" w:rsidRPr="008C0160">
        <w:t>Introduction</w:t>
      </w:r>
      <w:bookmarkEnd w:id="160"/>
      <w:bookmarkEnd w:id="161"/>
      <w:bookmarkEnd w:id="162"/>
    </w:p>
    <w:p w14:paraId="10146D37" w14:textId="77777777" w:rsidR="00377665" w:rsidRPr="008C0160" w:rsidRDefault="007D14A1" w:rsidP="00507D3C">
      <w:pPr>
        <w:rPr>
          <w:lang w:bidi="ar-SA"/>
        </w:rPr>
      </w:pPr>
      <w:r>
        <w:rPr>
          <w:lang w:bidi="ar-SA"/>
        </w:rPr>
        <w:t>Ammonium bisulphite</w:t>
      </w:r>
      <w:r w:rsidR="000179A0" w:rsidRPr="0017617B">
        <w:rPr>
          <w:lang w:bidi="ar-SA"/>
        </w:rPr>
        <w:t xml:space="preserve"> is a colourless crystal which is soluble in water</w:t>
      </w:r>
      <w:r w:rsidR="000179A0" w:rsidRPr="0017617B" w:rsidDel="004B4AE9">
        <w:rPr>
          <w:lang w:bidi="ar-SA"/>
        </w:rPr>
        <w:t xml:space="preserve"> </w:t>
      </w:r>
      <w:r w:rsidR="000179A0" w:rsidRPr="0017617B">
        <w:rPr>
          <w:lang w:bidi="ar-SA"/>
        </w:rPr>
        <w:t xml:space="preserve">and added to wine must via an aqueous solution. </w:t>
      </w:r>
      <w:r w:rsidR="00377665" w:rsidRPr="0017617B">
        <w:rPr>
          <w:lang w:bidi="ar-SA"/>
        </w:rPr>
        <w:t>In its aqueous form, it is used exclusively for the fermentation of grape must</w:t>
      </w:r>
      <w:r w:rsidR="00097C15" w:rsidRPr="0017617B">
        <w:rPr>
          <w:lang w:bidi="ar-SA"/>
        </w:rPr>
        <w:t>.</w:t>
      </w:r>
      <w:r w:rsidR="00377665" w:rsidRPr="0017617B">
        <w:rPr>
          <w:lang w:bidi="ar-SA"/>
        </w:rPr>
        <w:t xml:space="preserve"> During fermentation </w:t>
      </w:r>
      <w:r>
        <w:rPr>
          <w:lang w:bidi="ar-SA"/>
        </w:rPr>
        <w:t>ammonium bisulphite</w:t>
      </w:r>
      <w:r w:rsidR="008C0160">
        <w:rPr>
          <w:lang w:bidi="ar-SA"/>
        </w:rPr>
        <w:t xml:space="preserve"> </w:t>
      </w:r>
      <w:r w:rsidR="008C0160" w:rsidRPr="0017617B">
        <w:rPr>
          <w:lang w:bidi="ar-SA"/>
        </w:rPr>
        <w:t>breaks</w:t>
      </w:r>
      <w:r w:rsidR="00377665" w:rsidRPr="0017617B">
        <w:rPr>
          <w:lang w:bidi="ar-SA"/>
        </w:rPr>
        <w:t xml:space="preserve"> down to provide ammonium (NH</w:t>
      </w:r>
      <w:r w:rsidR="00377665" w:rsidRPr="00B91F72">
        <w:rPr>
          <w:vertAlign w:val="subscript"/>
          <w:lang w:bidi="ar-SA"/>
        </w:rPr>
        <w:t>4</w:t>
      </w:r>
      <w:r w:rsidR="00377665" w:rsidRPr="00B91F72">
        <w:rPr>
          <w:vertAlign w:val="superscript"/>
          <w:lang w:bidi="ar-SA"/>
        </w:rPr>
        <w:t>+</w:t>
      </w:r>
      <w:r w:rsidR="00377665" w:rsidRPr="0017617B">
        <w:rPr>
          <w:lang w:bidi="ar-SA"/>
        </w:rPr>
        <w:t xml:space="preserve">) ions which are directly assimilated by </w:t>
      </w:r>
      <w:hyperlink r:id="rId25" w:tooltip="Wine yeast" w:history="1">
        <w:r w:rsidR="00377665" w:rsidRPr="0017617B">
          <w:rPr>
            <w:lang w:bidi="ar-SA"/>
          </w:rPr>
          <w:t>the yeast</w:t>
        </w:r>
      </w:hyperlink>
      <w:r w:rsidR="00377665" w:rsidRPr="0017617B">
        <w:rPr>
          <w:lang w:bidi="ar-SA"/>
        </w:rPr>
        <w:t>, promoting successful fermentation. These nitrogenous compounds, known as yeast assimilable nitrogen (YAN</w:t>
      </w:r>
      <w:r w:rsidR="005A30E7">
        <w:rPr>
          <w:lang w:bidi="ar-SA"/>
        </w:rPr>
        <w:t>)</w:t>
      </w:r>
      <w:r w:rsidR="002007B5">
        <w:rPr>
          <w:lang w:bidi="ar-SA"/>
        </w:rPr>
        <w:t xml:space="preserve"> </w:t>
      </w:r>
      <w:r w:rsidR="005A30E7">
        <w:rPr>
          <w:lang w:bidi="ar-SA"/>
        </w:rPr>
        <w:t xml:space="preserve">are </w:t>
      </w:r>
      <w:r w:rsidR="005A30E7">
        <w:t>used exclusively for fermentation operations (</w:t>
      </w:r>
      <w:r w:rsidR="00C21F6B">
        <w:t>JECFA</w:t>
      </w:r>
      <w:r w:rsidR="00CB6485">
        <w:t xml:space="preserve"> 1974</w:t>
      </w:r>
      <w:r w:rsidR="005A30E7">
        <w:t>)</w:t>
      </w:r>
      <w:r w:rsidR="00377665" w:rsidRPr="005A30E7">
        <w:rPr>
          <w:lang w:bidi="ar-SA"/>
        </w:rPr>
        <w:t>. Sulphur dioxide (SO</w:t>
      </w:r>
      <w:r w:rsidR="00377665" w:rsidRPr="009E5D88">
        <w:rPr>
          <w:vertAlign w:val="subscript"/>
          <w:lang w:bidi="ar-SA"/>
        </w:rPr>
        <w:t>2</w:t>
      </w:r>
      <w:r w:rsidR="00377665" w:rsidRPr="005A30E7">
        <w:rPr>
          <w:lang w:bidi="ar-SA"/>
        </w:rPr>
        <w:t>) is also produced du</w:t>
      </w:r>
      <w:r w:rsidR="00377665" w:rsidRPr="0017617B">
        <w:rPr>
          <w:lang w:bidi="ar-SA"/>
        </w:rPr>
        <w:t xml:space="preserve">ring the breakdown of the </w:t>
      </w:r>
      <w:r>
        <w:rPr>
          <w:lang w:bidi="ar-SA"/>
        </w:rPr>
        <w:t>ammonium bisulphite</w:t>
      </w:r>
      <w:r w:rsidR="00377665" w:rsidRPr="0017617B">
        <w:rPr>
          <w:lang w:bidi="ar-SA"/>
        </w:rPr>
        <w:t>. The SO</w:t>
      </w:r>
      <w:r w:rsidR="00377665" w:rsidRPr="0017617B">
        <w:rPr>
          <w:vertAlign w:val="subscript"/>
          <w:lang w:bidi="ar-SA"/>
        </w:rPr>
        <w:t>2</w:t>
      </w:r>
      <w:r w:rsidR="00377665" w:rsidRPr="0017617B">
        <w:rPr>
          <w:lang w:bidi="ar-SA"/>
        </w:rPr>
        <w:t xml:space="preserve"> influences wine stability by inhibiting wild and spoilage yeasts and helps prevent oxidation and preserves the fruity flavour and freshness in wine.</w:t>
      </w:r>
    </w:p>
    <w:p w14:paraId="7AAE8EB9" w14:textId="77777777" w:rsidR="00377665" w:rsidRPr="008C0160" w:rsidRDefault="00FE354D" w:rsidP="0017617B">
      <w:pPr>
        <w:pStyle w:val="Heading3"/>
      </w:pPr>
      <w:bookmarkStart w:id="164" w:name="_Toc472668713"/>
      <w:bookmarkStart w:id="165" w:name="_Toc476908603"/>
      <w:bookmarkStart w:id="166" w:name="_Toc478375825"/>
      <w:r w:rsidRPr="008C0160">
        <w:t>1.2</w:t>
      </w:r>
      <w:r w:rsidRPr="008C0160">
        <w:tab/>
      </w:r>
      <w:r w:rsidR="00377665" w:rsidRPr="008C0160">
        <w:t>Current permissions</w:t>
      </w:r>
      <w:bookmarkEnd w:id="164"/>
      <w:bookmarkEnd w:id="165"/>
      <w:bookmarkEnd w:id="166"/>
    </w:p>
    <w:p w14:paraId="15A654CF" w14:textId="77777777" w:rsidR="006D5C90" w:rsidRPr="008C0160" w:rsidRDefault="00FE354D" w:rsidP="0017617B">
      <w:pPr>
        <w:pStyle w:val="Heading4"/>
      </w:pPr>
      <w:bookmarkStart w:id="167" w:name="_Toc472668714"/>
      <w:r w:rsidRPr="008C0160">
        <w:t>1.2.1</w:t>
      </w:r>
      <w:r w:rsidRPr="008C0160">
        <w:tab/>
      </w:r>
      <w:r w:rsidR="006D5C90" w:rsidRPr="008C0160">
        <w:t>OIV resolutions and other OIV documents</w:t>
      </w:r>
    </w:p>
    <w:p w14:paraId="29103795" w14:textId="77777777" w:rsidR="006D5C90" w:rsidRPr="008C0160" w:rsidRDefault="00B97A25" w:rsidP="00B3254F">
      <w:pPr>
        <w:widowControl/>
        <w:tabs>
          <w:tab w:val="left" w:pos="0"/>
          <w:tab w:val="left" w:pos="540"/>
        </w:tabs>
        <w:contextualSpacing/>
        <w:rPr>
          <w:lang w:bidi="ar-SA"/>
        </w:rPr>
      </w:pPr>
      <w:r>
        <w:rPr>
          <w:lang w:bidi="ar-SA"/>
        </w:rPr>
        <w:t>There are n</w:t>
      </w:r>
      <w:r w:rsidR="006D5C90" w:rsidRPr="008C0160">
        <w:rPr>
          <w:lang w:bidi="ar-SA"/>
        </w:rPr>
        <w:t>o OIV resolutions or OIV documents</w:t>
      </w:r>
      <w:r>
        <w:rPr>
          <w:lang w:bidi="ar-SA"/>
        </w:rPr>
        <w:t xml:space="preserve"> on ammonium bisulphite.</w:t>
      </w:r>
    </w:p>
    <w:p w14:paraId="6E311350" w14:textId="77777777" w:rsidR="00836EE9" w:rsidRPr="008C0160" w:rsidRDefault="00FE354D" w:rsidP="0017617B">
      <w:pPr>
        <w:pStyle w:val="Heading4"/>
      </w:pPr>
      <w:r w:rsidRPr="008C0160">
        <w:t>1.2.2</w:t>
      </w:r>
      <w:r w:rsidRPr="008C0160">
        <w:tab/>
      </w:r>
      <w:r w:rsidR="00377665" w:rsidRPr="008C0160">
        <w:t>European Union</w:t>
      </w:r>
      <w:bookmarkEnd w:id="167"/>
    </w:p>
    <w:p w14:paraId="6BBEC923" w14:textId="77777777" w:rsidR="00377665" w:rsidRPr="0017617B" w:rsidRDefault="00377665" w:rsidP="00836EE9">
      <w:pPr>
        <w:widowControl/>
        <w:tabs>
          <w:tab w:val="left" w:pos="0"/>
          <w:tab w:val="left" w:pos="540"/>
        </w:tabs>
        <w:contextualSpacing/>
        <w:rPr>
          <w:rFonts w:eastAsia="Calibri"/>
          <w:szCs w:val="22"/>
          <w:lang w:bidi="ar-SA"/>
        </w:rPr>
      </w:pPr>
      <w:r w:rsidRPr="0017617B">
        <w:rPr>
          <w:rFonts w:eastAsia="Calibri"/>
          <w:szCs w:val="22"/>
          <w:lang w:bidi="ar-SA"/>
        </w:rPr>
        <w:t xml:space="preserve">Under EC Regulation 1493/1999, </w:t>
      </w:r>
      <w:r w:rsidR="007D14A1">
        <w:rPr>
          <w:rFonts w:eastAsia="Calibri"/>
          <w:szCs w:val="22"/>
          <w:lang w:bidi="ar-SA"/>
        </w:rPr>
        <w:t>ammonium bisulphite</w:t>
      </w:r>
      <w:r w:rsidRPr="008C0160">
        <w:rPr>
          <w:rFonts w:eastAsia="Calibri"/>
          <w:szCs w:val="22"/>
          <w:lang w:bidi="ar-SA"/>
        </w:rPr>
        <w:t xml:space="preserve"> </w:t>
      </w:r>
      <w:r w:rsidRPr="0017617B">
        <w:rPr>
          <w:rFonts w:eastAsia="Calibri"/>
          <w:szCs w:val="22"/>
          <w:lang w:bidi="ar-SA"/>
        </w:rPr>
        <w:t>is permitted at levels of up to 0.2</w:t>
      </w:r>
      <w:r w:rsidR="00FE354D" w:rsidRPr="0017617B">
        <w:rPr>
          <w:rFonts w:eastAsia="Calibri"/>
          <w:szCs w:val="22"/>
          <w:lang w:bidi="ar-SA"/>
        </w:rPr>
        <w:t xml:space="preserve"> </w:t>
      </w:r>
      <w:r w:rsidRPr="0017617B">
        <w:rPr>
          <w:rFonts w:eastAsia="Calibri"/>
          <w:szCs w:val="22"/>
          <w:lang w:bidi="ar-SA"/>
        </w:rPr>
        <w:t>g/L to encourage the growth in yeasts.</w:t>
      </w:r>
    </w:p>
    <w:p w14:paraId="11374545" w14:textId="77777777" w:rsidR="00594C23" w:rsidRPr="008C0160" w:rsidRDefault="00FE354D" w:rsidP="0017617B">
      <w:pPr>
        <w:pStyle w:val="Heading4"/>
      </w:pPr>
      <w:r w:rsidRPr="008C0160">
        <w:t>1.2.3</w:t>
      </w:r>
      <w:r w:rsidRPr="008C0160">
        <w:tab/>
      </w:r>
      <w:r w:rsidR="00594C23" w:rsidRPr="008C0160">
        <w:t>United States</w:t>
      </w:r>
      <w:r w:rsidRPr="008C0160">
        <w:t xml:space="preserve"> of America</w:t>
      </w:r>
    </w:p>
    <w:p w14:paraId="10691DCB" w14:textId="77777777" w:rsidR="00594C23" w:rsidRPr="008C0160" w:rsidRDefault="00FE354D" w:rsidP="00836EE9">
      <w:pPr>
        <w:widowControl/>
        <w:tabs>
          <w:tab w:val="left" w:pos="0"/>
          <w:tab w:val="left" w:pos="540"/>
        </w:tabs>
        <w:contextualSpacing/>
        <w:rPr>
          <w:lang w:bidi="ar-SA"/>
        </w:rPr>
      </w:pPr>
      <w:r w:rsidRPr="008C0160">
        <w:rPr>
          <w:lang w:bidi="ar-SA"/>
        </w:rPr>
        <w:t>There is n</w:t>
      </w:r>
      <w:r w:rsidR="00594C23" w:rsidRPr="008C0160">
        <w:rPr>
          <w:lang w:bidi="ar-SA"/>
        </w:rPr>
        <w:t xml:space="preserve">o permission for use in the </w:t>
      </w:r>
      <w:r w:rsidRPr="008C0160">
        <w:rPr>
          <w:lang w:bidi="ar-SA"/>
        </w:rPr>
        <w:t>USA.</w:t>
      </w:r>
    </w:p>
    <w:p w14:paraId="2BA8B14A" w14:textId="77777777" w:rsidR="00836EE9" w:rsidRPr="008C0160" w:rsidRDefault="00003031" w:rsidP="0017617B">
      <w:pPr>
        <w:pStyle w:val="Heading4"/>
      </w:pPr>
      <w:bookmarkStart w:id="168" w:name="_Toc472668715"/>
      <w:r w:rsidRPr="008C0160">
        <w:t>1.2.4</w:t>
      </w:r>
      <w:r w:rsidRPr="008C0160">
        <w:tab/>
      </w:r>
      <w:r w:rsidR="00377665" w:rsidRPr="008C0160">
        <w:t>Republic of South Africa</w:t>
      </w:r>
      <w:bookmarkEnd w:id="168"/>
      <w:r w:rsidR="002E5829">
        <w:t xml:space="preserve"> (RSA)</w:t>
      </w:r>
    </w:p>
    <w:p w14:paraId="01A634BC" w14:textId="77777777" w:rsidR="00B3254F" w:rsidRPr="0017617B" w:rsidRDefault="002E5829" w:rsidP="00836EE9">
      <w:pPr>
        <w:widowControl/>
        <w:tabs>
          <w:tab w:val="left" w:pos="630"/>
        </w:tabs>
        <w:rPr>
          <w:rFonts w:eastAsia="Calibri"/>
          <w:szCs w:val="22"/>
          <w:lang w:bidi="ar-SA"/>
        </w:rPr>
      </w:pPr>
      <w:r>
        <w:rPr>
          <w:rFonts w:eastAsia="Calibri"/>
          <w:szCs w:val="22"/>
          <w:lang w:bidi="ar-SA"/>
        </w:rPr>
        <w:t>The RSA p</w:t>
      </w:r>
      <w:r w:rsidR="00377665" w:rsidRPr="0017617B">
        <w:rPr>
          <w:rFonts w:eastAsia="Calibri"/>
          <w:szCs w:val="22"/>
          <w:lang w:bidi="ar-SA"/>
        </w:rPr>
        <w:t xml:space="preserve">ermits the use of </w:t>
      </w:r>
      <w:r w:rsidR="007D14A1">
        <w:rPr>
          <w:rFonts w:eastAsia="Calibri"/>
          <w:szCs w:val="22"/>
          <w:lang w:bidi="ar-SA"/>
        </w:rPr>
        <w:t>ammonium bisulphite</w:t>
      </w:r>
      <w:r w:rsidR="00377665" w:rsidRPr="008C0160">
        <w:rPr>
          <w:rFonts w:eastAsia="Calibri"/>
          <w:szCs w:val="22"/>
          <w:lang w:bidi="ar-SA"/>
        </w:rPr>
        <w:t xml:space="preserve"> </w:t>
      </w:r>
      <w:r w:rsidR="00377665" w:rsidRPr="0017617B">
        <w:rPr>
          <w:rFonts w:eastAsia="Calibri"/>
          <w:szCs w:val="22"/>
          <w:lang w:bidi="ar-SA"/>
        </w:rPr>
        <w:t>under the annex 1; list of oenological practices and processes</w:t>
      </w:r>
      <w:r w:rsidR="00377665" w:rsidRPr="008C0160">
        <w:rPr>
          <w:rFonts w:eastAsia="Calibri"/>
          <w:szCs w:val="22"/>
          <w:lang w:bidi="ar-SA"/>
        </w:rPr>
        <w:t xml:space="preserve"> authorised</w:t>
      </w:r>
      <w:r w:rsidR="00377665" w:rsidRPr="0017617B">
        <w:rPr>
          <w:rFonts w:eastAsia="Calibri"/>
          <w:szCs w:val="22"/>
          <w:lang w:bidi="ar-SA"/>
        </w:rPr>
        <w:t xml:space="preserve"> for originating in the Republic of South Africa. Addition of ammonium sulphate or ammonium bisulphite.</w:t>
      </w:r>
    </w:p>
    <w:p w14:paraId="6041C365" w14:textId="77777777" w:rsidR="00377665" w:rsidRPr="008C0160" w:rsidRDefault="00FE354D" w:rsidP="0017617B">
      <w:pPr>
        <w:pStyle w:val="Heading3"/>
      </w:pPr>
      <w:bookmarkStart w:id="169" w:name="_Toc472668716"/>
      <w:bookmarkStart w:id="170" w:name="_Toc476908604"/>
      <w:bookmarkStart w:id="171" w:name="_Toc478375826"/>
      <w:r w:rsidRPr="008C0160">
        <w:t>1</w:t>
      </w:r>
      <w:r w:rsidR="00003031" w:rsidRPr="008C0160">
        <w:t>.3</w:t>
      </w:r>
      <w:r w:rsidRPr="008C0160">
        <w:tab/>
      </w:r>
      <w:r w:rsidR="00FA6025" w:rsidRPr="008C0160">
        <w:t>Risk assessment questions</w:t>
      </w:r>
      <w:bookmarkEnd w:id="169"/>
      <w:bookmarkEnd w:id="170"/>
      <w:bookmarkEnd w:id="171"/>
    </w:p>
    <w:p w14:paraId="55F1F540" w14:textId="77777777" w:rsidR="00887741" w:rsidRPr="008C0160" w:rsidRDefault="00FE354D" w:rsidP="0017617B">
      <w:pPr>
        <w:pStyle w:val="Heading3"/>
      </w:pPr>
      <w:bookmarkStart w:id="172" w:name="_Toc476908605"/>
      <w:bookmarkStart w:id="173" w:name="_Toc478375827"/>
      <w:r w:rsidRPr="008C0160">
        <w:t>1.</w:t>
      </w:r>
      <w:r w:rsidR="00003031" w:rsidRPr="008C0160">
        <w:t>3</w:t>
      </w:r>
      <w:r w:rsidRPr="008C0160">
        <w:t>.1</w:t>
      </w:r>
      <w:r w:rsidRPr="008C0160">
        <w:tab/>
      </w:r>
      <w:r w:rsidR="00887741" w:rsidRPr="008C0160">
        <w:t>Technological function</w:t>
      </w:r>
      <w:bookmarkEnd w:id="172"/>
      <w:bookmarkEnd w:id="173"/>
    </w:p>
    <w:p w14:paraId="3E5A6B59" w14:textId="77777777" w:rsidR="00AB02A3" w:rsidRPr="0017617B" w:rsidRDefault="00AB02A3" w:rsidP="00887741">
      <w:pPr>
        <w:widowControl/>
        <w:tabs>
          <w:tab w:val="left" w:pos="630"/>
        </w:tabs>
        <w:rPr>
          <w:rFonts w:eastAsia="Calibri"/>
          <w:szCs w:val="22"/>
          <w:lang w:bidi="ar-SA"/>
        </w:rPr>
      </w:pPr>
      <w:r w:rsidRPr="0017617B">
        <w:rPr>
          <w:rFonts w:eastAsia="Calibri"/>
          <w:szCs w:val="22"/>
          <w:lang w:bidi="ar-SA"/>
        </w:rPr>
        <w:t xml:space="preserve">Is the technological function clearly stated and does </w:t>
      </w:r>
      <w:r w:rsidR="007D14A1">
        <w:rPr>
          <w:rFonts w:eastAsia="Calibri"/>
          <w:szCs w:val="22"/>
          <w:lang w:bidi="ar-SA"/>
        </w:rPr>
        <w:t>ammonium bisulphite</w:t>
      </w:r>
      <w:r w:rsidRPr="0017617B">
        <w:rPr>
          <w:rFonts w:eastAsia="Calibri"/>
          <w:szCs w:val="22"/>
          <w:lang w:bidi="ar-SA"/>
        </w:rPr>
        <w:t xml:space="preserve"> achieve that function as a food processing aid in the quantity and form proposed?</w:t>
      </w:r>
    </w:p>
    <w:p w14:paraId="2DD4F9AB" w14:textId="77777777" w:rsidR="00887741" w:rsidRPr="008C0160" w:rsidRDefault="00FE354D" w:rsidP="0017617B">
      <w:pPr>
        <w:pStyle w:val="Heading3"/>
      </w:pPr>
      <w:bookmarkStart w:id="174" w:name="_Toc476908606"/>
      <w:bookmarkStart w:id="175" w:name="_Toc478375828"/>
      <w:r w:rsidRPr="008C0160">
        <w:t>1</w:t>
      </w:r>
      <w:r w:rsidR="00003031" w:rsidRPr="008C0160">
        <w:t>.3</w:t>
      </w:r>
      <w:r w:rsidRPr="008C0160">
        <w:t>.2</w:t>
      </w:r>
      <w:r w:rsidRPr="008C0160">
        <w:tab/>
      </w:r>
      <w:r w:rsidR="00887741" w:rsidRPr="008C0160">
        <w:t>Health and safety</w:t>
      </w:r>
      <w:bookmarkEnd w:id="174"/>
      <w:bookmarkEnd w:id="175"/>
    </w:p>
    <w:p w14:paraId="5E7AE1C5" w14:textId="77777777" w:rsidR="00AB02A3" w:rsidRPr="0017617B" w:rsidRDefault="00AB02A3" w:rsidP="00887741">
      <w:pPr>
        <w:widowControl/>
        <w:tabs>
          <w:tab w:val="left" w:pos="630"/>
        </w:tabs>
        <w:rPr>
          <w:rFonts w:eastAsia="Calibri"/>
          <w:szCs w:val="22"/>
          <w:lang w:bidi="ar-SA"/>
        </w:rPr>
      </w:pPr>
      <w:r w:rsidRPr="0017617B">
        <w:rPr>
          <w:rFonts w:eastAsia="Calibri"/>
          <w:szCs w:val="22"/>
          <w:lang w:bidi="ar-SA"/>
        </w:rPr>
        <w:t xml:space="preserve">Are there any potential public health and safety concerns that may arise from the use of </w:t>
      </w:r>
      <w:r w:rsidR="007D14A1">
        <w:rPr>
          <w:rFonts w:eastAsia="Calibri"/>
          <w:szCs w:val="22"/>
          <w:lang w:bidi="ar-SA"/>
        </w:rPr>
        <w:t>ammonium bisulphite</w:t>
      </w:r>
      <w:r w:rsidRPr="0017617B">
        <w:rPr>
          <w:rFonts w:eastAsia="Calibri"/>
          <w:szCs w:val="22"/>
          <w:lang w:bidi="ar-SA"/>
        </w:rPr>
        <w:t xml:space="preserve"> as a processing aid in the manufacture of wine in Australia and New Zealand?</w:t>
      </w:r>
    </w:p>
    <w:p w14:paraId="2B343BCD" w14:textId="77777777" w:rsidR="00AF368C" w:rsidRPr="008C0160" w:rsidRDefault="00003031" w:rsidP="0017617B">
      <w:pPr>
        <w:pStyle w:val="Heading2"/>
      </w:pPr>
      <w:bookmarkStart w:id="176" w:name="_Toc466968560"/>
      <w:bookmarkStart w:id="177" w:name="_Toc472668717"/>
      <w:bookmarkStart w:id="178" w:name="_Toc476908607"/>
      <w:bookmarkStart w:id="179" w:name="_Toc478375829"/>
      <w:bookmarkEnd w:id="163"/>
      <w:bookmarkEnd w:id="176"/>
      <w:r w:rsidRPr="008C0160">
        <w:lastRenderedPageBreak/>
        <w:t>2</w:t>
      </w:r>
      <w:r w:rsidRPr="008C0160">
        <w:tab/>
      </w:r>
      <w:r w:rsidR="00AF368C" w:rsidRPr="008C0160">
        <w:t>Food technology assessment</w:t>
      </w:r>
      <w:bookmarkEnd w:id="177"/>
      <w:bookmarkEnd w:id="178"/>
      <w:bookmarkEnd w:id="179"/>
    </w:p>
    <w:p w14:paraId="0DE6FD45" w14:textId="77777777" w:rsidR="007072AF" w:rsidRPr="008C0160" w:rsidRDefault="00003031" w:rsidP="0017617B">
      <w:pPr>
        <w:pStyle w:val="Heading3"/>
      </w:pPr>
      <w:bookmarkStart w:id="180" w:name="_Toc472668718"/>
      <w:bookmarkStart w:id="181" w:name="_Toc476908608"/>
      <w:bookmarkStart w:id="182" w:name="_Toc478375830"/>
      <w:r w:rsidRPr="008C0160">
        <w:t>2.1</w:t>
      </w:r>
      <w:r w:rsidRPr="008C0160">
        <w:tab/>
      </w:r>
      <w:r w:rsidR="007072AF" w:rsidRPr="008C0160">
        <w:t>Technological purpose</w:t>
      </w:r>
      <w:bookmarkEnd w:id="180"/>
      <w:bookmarkEnd w:id="181"/>
      <w:bookmarkEnd w:id="182"/>
    </w:p>
    <w:p w14:paraId="718EF2B7" w14:textId="77777777" w:rsidR="007072AF" w:rsidRPr="0017617B" w:rsidRDefault="007D14A1" w:rsidP="007C4AAF">
      <w:pPr>
        <w:widowControl/>
        <w:rPr>
          <w:lang w:bidi="ar-SA"/>
        </w:rPr>
      </w:pPr>
      <w:r>
        <w:rPr>
          <w:lang w:bidi="ar-SA"/>
        </w:rPr>
        <w:t>Ammonium bisulphite</w:t>
      </w:r>
      <w:r w:rsidR="000179A0" w:rsidRPr="008C0160">
        <w:rPr>
          <w:lang w:bidi="ar-SA"/>
        </w:rPr>
        <w:t xml:space="preserve"> </w:t>
      </w:r>
      <w:r w:rsidR="00097C15" w:rsidRPr="0017617B">
        <w:rPr>
          <w:lang w:bidi="ar-SA"/>
        </w:rPr>
        <w:t xml:space="preserve">has </w:t>
      </w:r>
      <w:r w:rsidR="000179A0" w:rsidRPr="0017617B">
        <w:rPr>
          <w:lang w:bidi="ar-SA"/>
        </w:rPr>
        <w:t>several functions in wine making. When broken down during fermentation it provides ammonium ions and sulphur dioxide (SO</w:t>
      </w:r>
      <w:r w:rsidR="000179A0" w:rsidRPr="0017617B">
        <w:rPr>
          <w:vertAlign w:val="subscript"/>
          <w:lang w:bidi="ar-SA"/>
        </w:rPr>
        <w:t>2</w:t>
      </w:r>
      <w:r w:rsidR="000179A0" w:rsidRPr="0017617B">
        <w:rPr>
          <w:lang w:bidi="ar-SA"/>
        </w:rPr>
        <w:t xml:space="preserve">). </w:t>
      </w:r>
      <w:r w:rsidR="007072AF" w:rsidRPr="0017617B">
        <w:rPr>
          <w:lang w:bidi="ar-SA"/>
        </w:rPr>
        <w:t>The functions, as articulated in the application that each substance provide are:</w:t>
      </w:r>
    </w:p>
    <w:p w14:paraId="14024E98" w14:textId="77777777" w:rsidR="00097C15" w:rsidRPr="0017617B" w:rsidRDefault="00097C15" w:rsidP="007C4AAF">
      <w:pPr>
        <w:widowControl/>
        <w:rPr>
          <w:lang w:bidi="ar-SA"/>
        </w:rPr>
      </w:pPr>
    </w:p>
    <w:p w14:paraId="378DD74A" w14:textId="77777777" w:rsidR="007072AF" w:rsidRPr="0017617B" w:rsidRDefault="007072AF" w:rsidP="0017617B">
      <w:pPr>
        <w:pStyle w:val="FSBullet1"/>
        <w:rPr>
          <w:rFonts w:eastAsia="Calibri"/>
        </w:rPr>
      </w:pPr>
      <w:r w:rsidRPr="0017617B">
        <w:rPr>
          <w:rFonts w:eastAsia="Calibri"/>
        </w:rPr>
        <w:t>ammonium ions</w:t>
      </w:r>
    </w:p>
    <w:p w14:paraId="578902F4" w14:textId="77777777" w:rsidR="007072AF" w:rsidRPr="0017617B" w:rsidRDefault="007072AF" w:rsidP="0017617B">
      <w:pPr>
        <w:pStyle w:val="FSBullet2"/>
      </w:pPr>
      <w:r w:rsidRPr="0017617B">
        <w:t>a nitrogen source for nourishment of yeast, allowing efficient fermentation</w:t>
      </w:r>
    </w:p>
    <w:p w14:paraId="3E433903" w14:textId="77777777" w:rsidR="007072AF" w:rsidRPr="0017617B" w:rsidRDefault="007072AF" w:rsidP="0017617B">
      <w:pPr>
        <w:pStyle w:val="FSBullet2"/>
      </w:pPr>
      <w:r w:rsidRPr="0017617B">
        <w:t>influencing wine stability, particularly in white wine.</w:t>
      </w:r>
    </w:p>
    <w:p w14:paraId="33EEF0EC" w14:textId="77777777" w:rsidR="00003031" w:rsidRPr="0017617B" w:rsidRDefault="00003031" w:rsidP="0017617B">
      <w:pPr>
        <w:widowControl/>
        <w:tabs>
          <w:tab w:val="left" w:pos="993"/>
        </w:tabs>
        <w:ind w:left="990"/>
        <w:contextualSpacing/>
        <w:rPr>
          <w:rFonts w:eastAsia="Calibri"/>
          <w:szCs w:val="22"/>
          <w:lang w:bidi="ar-SA"/>
        </w:rPr>
      </w:pPr>
    </w:p>
    <w:p w14:paraId="709D567D" w14:textId="77777777" w:rsidR="007072AF" w:rsidRPr="0017617B" w:rsidRDefault="007072AF" w:rsidP="0017617B">
      <w:pPr>
        <w:pStyle w:val="FSBullet1"/>
        <w:rPr>
          <w:rFonts w:eastAsia="Calibri"/>
        </w:rPr>
      </w:pPr>
      <w:r w:rsidRPr="0017617B">
        <w:rPr>
          <w:rFonts w:eastAsia="Calibri"/>
        </w:rPr>
        <w:t>sulphur dioxide</w:t>
      </w:r>
    </w:p>
    <w:p w14:paraId="5F0BE18F" w14:textId="77777777" w:rsidR="007072AF" w:rsidRPr="0017617B" w:rsidRDefault="007072AF" w:rsidP="0017617B">
      <w:pPr>
        <w:pStyle w:val="FSBullet2"/>
      </w:pPr>
      <w:r w:rsidRPr="0017617B">
        <w:t xml:space="preserve">an antioxidant having a reductive effect. Captures oxygen and prevents oxidation </w:t>
      </w:r>
    </w:p>
    <w:p w14:paraId="65D9175E" w14:textId="77777777" w:rsidR="007072AF" w:rsidRPr="0017617B" w:rsidRDefault="007072AF" w:rsidP="0017617B">
      <w:pPr>
        <w:pStyle w:val="FSBullet2"/>
      </w:pPr>
      <w:r w:rsidRPr="0017617B">
        <w:t xml:space="preserve">an antioxidase that destroys oxidases and prevents casse </w:t>
      </w:r>
    </w:p>
    <w:p w14:paraId="54626AFB" w14:textId="77777777" w:rsidR="007072AF" w:rsidRPr="0017617B" w:rsidRDefault="007072AF" w:rsidP="0017617B">
      <w:pPr>
        <w:pStyle w:val="FSBullet2"/>
      </w:pPr>
      <w:r w:rsidRPr="0017617B">
        <w:t xml:space="preserve">an antimicrobial that inhibits the action of </w:t>
      </w:r>
      <w:r w:rsidR="00671CB2" w:rsidRPr="0017617B">
        <w:t xml:space="preserve">wild </w:t>
      </w:r>
      <w:r w:rsidR="00AA2528" w:rsidRPr="0017617B">
        <w:t xml:space="preserve">and spoilage </w:t>
      </w:r>
      <w:r w:rsidRPr="0017617B">
        <w:t>yeasts</w:t>
      </w:r>
      <w:r w:rsidR="00AA2528" w:rsidRPr="0017617B">
        <w:t>,</w:t>
      </w:r>
      <w:r w:rsidRPr="0017617B">
        <w:t xml:space="preserve"> lactic and acetic bacteria.</w:t>
      </w:r>
    </w:p>
    <w:p w14:paraId="5EAF065C" w14:textId="77777777" w:rsidR="007072AF" w:rsidRPr="008C0160" w:rsidRDefault="00003031" w:rsidP="0017617B">
      <w:pPr>
        <w:pStyle w:val="Heading3"/>
      </w:pPr>
      <w:bookmarkStart w:id="183" w:name="_Toc472668719"/>
      <w:bookmarkStart w:id="184" w:name="_Toc476908609"/>
      <w:bookmarkStart w:id="185" w:name="_Toc478375831"/>
      <w:r w:rsidRPr="008C0160">
        <w:t>2.2</w:t>
      </w:r>
      <w:r w:rsidRPr="008C0160">
        <w:tab/>
      </w:r>
      <w:r w:rsidR="007072AF" w:rsidRPr="008C0160">
        <w:t>Technological justification</w:t>
      </w:r>
      <w:bookmarkEnd w:id="183"/>
      <w:bookmarkEnd w:id="184"/>
      <w:bookmarkEnd w:id="185"/>
    </w:p>
    <w:p w14:paraId="7B93D5D4" w14:textId="77777777" w:rsidR="00CC507D" w:rsidRPr="008C0160" w:rsidRDefault="007D14A1" w:rsidP="00CC507D">
      <w:pPr>
        <w:widowControl/>
        <w:rPr>
          <w:lang w:bidi="ar-SA"/>
        </w:rPr>
      </w:pPr>
      <w:r>
        <w:rPr>
          <w:lang w:bidi="ar-SA"/>
        </w:rPr>
        <w:t>Ammonium bisulphite</w:t>
      </w:r>
      <w:r w:rsidR="004A6690" w:rsidRPr="008C0160" w:rsidDel="004A6690">
        <w:rPr>
          <w:lang w:bidi="ar-SA"/>
        </w:rPr>
        <w:t xml:space="preserve"> </w:t>
      </w:r>
      <w:r w:rsidR="00CC507D" w:rsidRPr="008C0160">
        <w:rPr>
          <w:lang w:bidi="ar-SA"/>
        </w:rPr>
        <w:t>is an efficient way to provide nutrition for the yeast during fermentation as it breaks down to nitrogenous ammonium ions, which are valuable nutrients for yeast. A deficiency of nitrogen can lead to slow or stuck fermentation necessitating supplementation to promote a clean and uninterrupted fermentation.</w:t>
      </w:r>
    </w:p>
    <w:p w14:paraId="717F211F" w14:textId="77777777" w:rsidR="00CC507D" w:rsidRPr="008C0160" w:rsidRDefault="00CC507D" w:rsidP="00CC507D">
      <w:pPr>
        <w:widowControl/>
        <w:rPr>
          <w:lang w:bidi="ar-SA"/>
        </w:rPr>
      </w:pPr>
    </w:p>
    <w:p w14:paraId="35268CE3" w14:textId="77777777" w:rsidR="00D90432" w:rsidRDefault="00D90432" w:rsidP="00CC507D">
      <w:pPr>
        <w:widowControl/>
        <w:rPr>
          <w:lang w:bidi="ar-SA"/>
        </w:rPr>
      </w:pPr>
      <w:r w:rsidRPr="00D90432">
        <w:t>FSANZ note</w:t>
      </w:r>
      <w:r w:rsidR="002E5829">
        <w:t>d</w:t>
      </w:r>
      <w:r w:rsidRPr="00D90432">
        <w:t xml:space="preserve"> that sulphur dioxide (</w:t>
      </w:r>
      <w:r w:rsidRPr="008C0160">
        <w:rPr>
          <w:lang w:bidi="ar-SA"/>
        </w:rPr>
        <w:t>SO</w:t>
      </w:r>
      <w:r w:rsidRPr="008C0160">
        <w:rPr>
          <w:vertAlign w:val="subscript"/>
          <w:lang w:bidi="ar-SA"/>
        </w:rPr>
        <w:t>2</w:t>
      </w:r>
      <w:r w:rsidRPr="00D90432">
        <w:t>) is produced during the br</w:t>
      </w:r>
      <w:r>
        <w:t>eakdown of ammonium bisulphite</w:t>
      </w:r>
      <w:r w:rsidR="001C2CF0">
        <w:t xml:space="preserve">. </w:t>
      </w:r>
      <w:r w:rsidRPr="00D90432">
        <w:t>The primary technological function</w:t>
      </w:r>
      <w:r>
        <w:t xml:space="preserve"> however</w:t>
      </w:r>
      <w:r w:rsidRPr="00D90432">
        <w:t xml:space="preserve"> for ammonium bisulphite is for a yeast nutrient and its use as such is technologically</w:t>
      </w:r>
      <w:r>
        <w:t xml:space="preserve"> justified. </w:t>
      </w:r>
      <w:r w:rsidR="00CC507D" w:rsidRPr="008C0160">
        <w:rPr>
          <w:lang w:bidi="ar-SA"/>
        </w:rPr>
        <w:t>SO</w:t>
      </w:r>
      <w:r w:rsidR="00CC507D" w:rsidRPr="008C0160">
        <w:rPr>
          <w:vertAlign w:val="subscript"/>
          <w:lang w:bidi="ar-SA"/>
        </w:rPr>
        <w:t>2</w:t>
      </w:r>
      <w:r w:rsidR="00CC507D" w:rsidRPr="008C0160">
        <w:rPr>
          <w:lang w:bidi="ar-SA"/>
        </w:rPr>
        <w:t xml:space="preserve"> also </w:t>
      </w:r>
      <w:r w:rsidR="003917EA">
        <w:rPr>
          <w:lang w:bidi="ar-SA"/>
        </w:rPr>
        <w:t>inhibits</w:t>
      </w:r>
      <w:r w:rsidR="00CC507D" w:rsidRPr="008C0160">
        <w:rPr>
          <w:lang w:bidi="ar-SA"/>
        </w:rPr>
        <w:t xml:space="preserve"> wild and spoilage yeasts during fermentation. </w:t>
      </w:r>
      <w:r>
        <w:rPr>
          <w:lang w:bidi="ar-SA"/>
        </w:rPr>
        <w:t>Generally, this</w:t>
      </w:r>
      <w:r w:rsidR="00CC507D" w:rsidRPr="008C0160">
        <w:rPr>
          <w:lang w:bidi="ar-SA"/>
        </w:rPr>
        <w:t xml:space="preserve"> SO</w:t>
      </w:r>
      <w:r w:rsidR="00CC507D" w:rsidRPr="008C0160">
        <w:rPr>
          <w:vertAlign w:val="subscript"/>
          <w:lang w:bidi="ar-SA"/>
        </w:rPr>
        <w:t>2</w:t>
      </w:r>
      <w:r w:rsidR="00CC507D" w:rsidRPr="008C0160">
        <w:rPr>
          <w:lang w:bidi="ar-SA"/>
        </w:rPr>
        <w:t xml:space="preserve"> is </w:t>
      </w:r>
      <w:r w:rsidR="005136FD">
        <w:rPr>
          <w:lang w:bidi="ar-SA"/>
        </w:rPr>
        <w:t>supplemented</w:t>
      </w:r>
      <w:r w:rsidR="005136FD" w:rsidRPr="008C0160">
        <w:rPr>
          <w:lang w:bidi="ar-SA"/>
        </w:rPr>
        <w:t xml:space="preserve"> </w:t>
      </w:r>
      <w:r w:rsidR="00CC507D" w:rsidRPr="008C0160">
        <w:rPr>
          <w:lang w:bidi="ar-SA"/>
        </w:rPr>
        <w:t xml:space="preserve">by the further </w:t>
      </w:r>
      <w:r>
        <w:rPr>
          <w:lang w:bidi="ar-SA"/>
        </w:rPr>
        <w:t xml:space="preserve">intentional </w:t>
      </w:r>
      <w:r w:rsidR="00CC507D" w:rsidRPr="008C0160">
        <w:rPr>
          <w:lang w:bidi="ar-SA"/>
        </w:rPr>
        <w:t>addition of SO</w:t>
      </w:r>
      <w:r w:rsidR="00CC507D" w:rsidRPr="008C0160">
        <w:rPr>
          <w:vertAlign w:val="subscript"/>
          <w:lang w:bidi="ar-SA"/>
        </w:rPr>
        <w:t>2</w:t>
      </w:r>
      <w:r w:rsidR="00CC507D" w:rsidRPr="008C0160">
        <w:rPr>
          <w:lang w:bidi="ar-SA"/>
        </w:rPr>
        <w:t xml:space="preserve"> as a food additive, preventing oxidation and preserving the fruity flavour and freshness of wine</w:t>
      </w:r>
      <w:r w:rsidR="001F3406" w:rsidRPr="001F3406">
        <w:t xml:space="preserve"> </w:t>
      </w:r>
      <w:r w:rsidR="001F3406">
        <w:t>(</w:t>
      </w:r>
      <w:r w:rsidR="001F3406" w:rsidRPr="001F3406">
        <w:rPr>
          <w:lang w:bidi="ar-SA"/>
        </w:rPr>
        <w:t>British Columbia Amateur Winemakers Association</w:t>
      </w:r>
      <w:r w:rsidR="001F3406">
        <w:rPr>
          <w:lang w:bidi="ar-SA"/>
        </w:rPr>
        <w:t>)</w:t>
      </w:r>
      <w:r w:rsidR="00CC507D" w:rsidRPr="008C0160">
        <w:rPr>
          <w:lang w:bidi="ar-SA"/>
        </w:rPr>
        <w:t>.</w:t>
      </w:r>
      <w:r w:rsidR="003540AC" w:rsidRPr="008C0160">
        <w:rPr>
          <w:lang w:bidi="ar-SA"/>
        </w:rPr>
        <w:t xml:space="preserve"> </w:t>
      </w:r>
    </w:p>
    <w:p w14:paraId="22F7A63A" w14:textId="77777777" w:rsidR="00D90432" w:rsidRDefault="00D90432" w:rsidP="00CC507D">
      <w:pPr>
        <w:widowControl/>
        <w:rPr>
          <w:lang w:bidi="ar-SA"/>
        </w:rPr>
      </w:pPr>
    </w:p>
    <w:p w14:paraId="11B0B6AC" w14:textId="77777777" w:rsidR="00CC507D" w:rsidRPr="008C0160" w:rsidRDefault="003917EA" w:rsidP="00CC507D">
      <w:pPr>
        <w:widowControl/>
        <w:rPr>
          <w:lang w:bidi="ar-SA"/>
        </w:rPr>
      </w:pPr>
      <w:r>
        <w:rPr>
          <w:lang w:bidi="ar-SA"/>
        </w:rPr>
        <w:t>Ammonium bisulphite</w:t>
      </w:r>
      <w:r w:rsidR="003540AC" w:rsidRPr="008C0160">
        <w:rPr>
          <w:lang w:bidi="ar-SA"/>
        </w:rPr>
        <w:t xml:space="preserve"> is an alternative to </w:t>
      </w:r>
      <w:r w:rsidR="00D90432">
        <w:rPr>
          <w:lang w:bidi="ar-SA"/>
        </w:rPr>
        <w:t>a</w:t>
      </w:r>
      <w:r w:rsidR="00D90432" w:rsidRPr="008C0160">
        <w:rPr>
          <w:lang w:bidi="ar-SA"/>
        </w:rPr>
        <w:t xml:space="preserve"> </w:t>
      </w:r>
      <w:r w:rsidR="003540AC" w:rsidRPr="008C0160">
        <w:rPr>
          <w:lang w:bidi="ar-SA"/>
        </w:rPr>
        <w:t xml:space="preserve">currently permitted processing aid; </w:t>
      </w:r>
      <w:r w:rsidR="006B1EA3" w:rsidRPr="008C0160">
        <w:rPr>
          <w:lang w:bidi="ar-SA"/>
        </w:rPr>
        <w:t>ammonium sulphite</w:t>
      </w:r>
      <w:r w:rsidR="00D90432">
        <w:rPr>
          <w:lang w:bidi="ar-SA"/>
        </w:rPr>
        <w:t xml:space="preserve">, which is a </w:t>
      </w:r>
      <w:r w:rsidR="00CB480E" w:rsidRPr="008C0160">
        <w:rPr>
          <w:lang w:bidi="ar-SA"/>
        </w:rPr>
        <w:t xml:space="preserve">permitted microbial </w:t>
      </w:r>
      <w:r w:rsidR="00B224A5" w:rsidRPr="008C0160">
        <w:rPr>
          <w:lang w:bidi="ar-SA"/>
        </w:rPr>
        <w:t>nutrient.</w:t>
      </w:r>
      <w:r w:rsidR="004A6690" w:rsidRPr="008C0160">
        <w:rPr>
          <w:lang w:bidi="ar-SA"/>
        </w:rPr>
        <w:t xml:space="preserve"> </w:t>
      </w:r>
      <w:r w:rsidR="007D14A1">
        <w:rPr>
          <w:lang w:bidi="ar-SA"/>
        </w:rPr>
        <w:t>Ammonium bisulphite</w:t>
      </w:r>
      <w:r w:rsidR="004A6690" w:rsidRPr="008C0160">
        <w:rPr>
          <w:lang w:bidi="ar-SA"/>
        </w:rPr>
        <w:t xml:space="preserve"> in an aqueous form is considerably more effective and preferred </w:t>
      </w:r>
      <w:r w:rsidR="00D90432" w:rsidRPr="008C0160">
        <w:rPr>
          <w:lang w:bidi="ar-SA"/>
        </w:rPr>
        <w:t>when compared to alternatives that require mixing or individual addition at specific ti</w:t>
      </w:r>
      <w:r w:rsidR="00D90432">
        <w:rPr>
          <w:lang w:bidi="ar-SA"/>
        </w:rPr>
        <w:t>mes of the fermentation process</w:t>
      </w:r>
      <w:r w:rsidR="005136FD">
        <w:rPr>
          <w:lang w:bidi="ar-SA"/>
        </w:rPr>
        <w:t>. In addition, ammonium bisulphite</w:t>
      </w:r>
      <w:r w:rsidR="00D90432">
        <w:rPr>
          <w:lang w:bidi="ar-SA"/>
        </w:rPr>
        <w:t xml:space="preserve"> </w:t>
      </w:r>
      <w:r w:rsidR="005136FD">
        <w:rPr>
          <w:lang w:bidi="ar-SA"/>
        </w:rPr>
        <w:t>is</w:t>
      </w:r>
      <w:r w:rsidR="004A6690" w:rsidRPr="008C0160">
        <w:rPr>
          <w:lang w:bidi="ar-SA"/>
        </w:rPr>
        <w:t xml:space="preserve"> safe</w:t>
      </w:r>
      <w:r w:rsidR="005136FD">
        <w:rPr>
          <w:lang w:bidi="ar-SA"/>
        </w:rPr>
        <w:t>r</w:t>
      </w:r>
      <w:r w:rsidR="004A6690" w:rsidRPr="008C0160">
        <w:rPr>
          <w:lang w:bidi="ar-SA"/>
        </w:rPr>
        <w:t xml:space="preserve"> </w:t>
      </w:r>
      <w:r w:rsidR="005136FD">
        <w:rPr>
          <w:lang w:bidi="ar-SA"/>
        </w:rPr>
        <w:t xml:space="preserve">to </w:t>
      </w:r>
      <w:r w:rsidR="005136FD" w:rsidRPr="008C0160">
        <w:rPr>
          <w:lang w:bidi="ar-SA"/>
        </w:rPr>
        <w:t>handl</w:t>
      </w:r>
      <w:r w:rsidR="005136FD">
        <w:rPr>
          <w:lang w:bidi="ar-SA"/>
        </w:rPr>
        <w:t>e</w:t>
      </w:r>
      <w:r w:rsidR="004A6690" w:rsidRPr="008C0160">
        <w:rPr>
          <w:lang w:bidi="ar-SA"/>
        </w:rPr>
        <w:t>.</w:t>
      </w:r>
    </w:p>
    <w:p w14:paraId="435C8F6B" w14:textId="77777777" w:rsidR="00CC507D" w:rsidRPr="008C0160" w:rsidRDefault="00CC507D" w:rsidP="00CC507D">
      <w:pPr>
        <w:widowControl/>
        <w:rPr>
          <w:lang w:bidi="ar-SA"/>
        </w:rPr>
      </w:pPr>
    </w:p>
    <w:p w14:paraId="50F6D8C8" w14:textId="77777777" w:rsidR="007072AF" w:rsidRPr="0017617B" w:rsidRDefault="00CC507D" w:rsidP="000126C0">
      <w:pPr>
        <w:widowControl/>
        <w:rPr>
          <w:rFonts w:eastAsia="Calibri"/>
          <w:iCs/>
          <w:szCs w:val="22"/>
          <w:lang w:bidi="ar-SA"/>
        </w:rPr>
      </w:pPr>
      <w:r w:rsidRPr="008C0160">
        <w:rPr>
          <w:lang w:bidi="ar-SA"/>
        </w:rPr>
        <w:t xml:space="preserve">The ammonium ions produced via the breakdown of </w:t>
      </w:r>
      <w:r w:rsidR="007D14A1">
        <w:rPr>
          <w:lang w:bidi="ar-SA"/>
        </w:rPr>
        <w:t>ammonium bisulphite</w:t>
      </w:r>
      <w:r w:rsidR="004A6690" w:rsidRPr="008C0160">
        <w:rPr>
          <w:lang w:bidi="ar-SA"/>
        </w:rPr>
        <w:t xml:space="preserve"> </w:t>
      </w:r>
      <w:r w:rsidRPr="008C0160">
        <w:rPr>
          <w:lang w:bidi="ar-SA"/>
        </w:rPr>
        <w:t xml:space="preserve">meet the criteria of performing </w:t>
      </w:r>
      <w:r w:rsidR="00D90432">
        <w:rPr>
          <w:lang w:bidi="ar-SA"/>
        </w:rPr>
        <w:t>the primary</w:t>
      </w:r>
      <w:r w:rsidR="00D90432" w:rsidRPr="008C0160">
        <w:rPr>
          <w:lang w:bidi="ar-SA"/>
        </w:rPr>
        <w:t xml:space="preserve"> </w:t>
      </w:r>
      <w:r w:rsidRPr="008C0160">
        <w:rPr>
          <w:lang w:bidi="ar-SA"/>
        </w:rPr>
        <w:t xml:space="preserve">technological purpose of a processing aid </w:t>
      </w:r>
      <w:r w:rsidR="002B5CA0" w:rsidRPr="008C0160">
        <w:rPr>
          <w:lang w:bidi="ar-SA"/>
        </w:rPr>
        <w:t xml:space="preserve">as </w:t>
      </w:r>
      <w:r w:rsidRPr="008C0160">
        <w:rPr>
          <w:lang w:bidi="ar-SA"/>
        </w:rPr>
        <w:t xml:space="preserve">they are consumed during the course of processing and have no function in the final product once fermentation is </w:t>
      </w:r>
      <w:r w:rsidRPr="008C0160">
        <w:t xml:space="preserve">halted. </w:t>
      </w:r>
    </w:p>
    <w:p w14:paraId="28E7537D" w14:textId="77777777" w:rsidR="007072AF" w:rsidRPr="008C0160" w:rsidRDefault="00003031" w:rsidP="0017617B">
      <w:pPr>
        <w:pStyle w:val="Heading3"/>
      </w:pPr>
      <w:bookmarkStart w:id="186" w:name="_Toc472668720"/>
      <w:bookmarkStart w:id="187" w:name="_Toc476908610"/>
      <w:bookmarkStart w:id="188" w:name="_Toc478375832"/>
      <w:r w:rsidRPr="008C0160">
        <w:lastRenderedPageBreak/>
        <w:t>2.3</w:t>
      </w:r>
      <w:r w:rsidRPr="008C0160">
        <w:tab/>
      </w:r>
      <w:r w:rsidR="007072AF" w:rsidRPr="008C0160">
        <w:t>Chemical properties</w:t>
      </w:r>
      <w:bookmarkEnd w:id="186"/>
      <w:bookmarkEnd w:id="187"/>
      <w:bookmarkEnd w:id="188"/>
    </w:p>
    <w:tbl>
      <w:tblPr>
        <w:tblStyle w:val="TableGrid3"/>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hemical properties for ammonium hydrogen sulphite"/>
      </w:tblPr>
      <w:tblGrid>
        <w:gridCol w:w="2088"/>
        <w:gridCol w:w="7198"/>
      </w:tblGrid>
      <w:tr w:rsidR="007072AF" w:rsidRPr="008C0160" w14:paraId="3B57806A" w14:textId="77777777" w:rsidTr="00CB40DF">
        <w:trPr>
          <w:tblHeader/>
        </w:trPr>
        <w:tc>
          <w:tcPr>
            <w:tcW w:w="2088" w:type="dxa"/>
          </w:tcPr>
          <w:p w14:paraId="4D7AAC4A" w14:textId="77777777" w:rsidR="007072AF" w:rsidRPr="0017617B" w:rsidRDefault="007072AF" w:rsidP="007072AF">
            <w:pPr>
              <w:keepNext/>
              <w:widowControl/>
              <w:spacing w:before="240" w:after="240"/>
              <w:ind w:left="851" w:hanging="851"/>
              <w:outlineLvl w:val="3"/>
              <w:rPr>
                <w:bCs/>
                <w:i/>
                <w:iCs/>
                <w:szCs w:val="22"/>
                <w:lang w:val="en-GB" w:bidi="ar-SA"/>
              </w:rPr>
            </w:pPr>
            <w:r w:rsidRPr="008C0160">
              <w:rPr>
                <w:bCs/>
                <w:i/>
                <w:iCs/>
                <w:szCs w:val="22"/>
                <w:lang w:bidi="ar-SA"/>
              </w:rPr>
              <w:t>Description:</w:t>
            </w:r>
          </w:p>
        </w:tc>
        <w:tc>
          <w:tcPr>
            <w:tcW w:w="7198" w:type="dxa"/>
          </w:tcPr>
          <w:p w14:paraId="76307077" w14:textId="77777777" w:rsidR="007072AF" w:rsidRPr="0017617B" w:rsidRDefault="007072AF" w:rsidP="007072AF">
            <w:pPr>
              <w:keepNext/>
              <w:widowControl/>
              <w:spacing w:before="240" w:after="240"/>
              <w:outlineLvl w:val="3"/>
              <w:rPr>
                <w:bCs/>
                <w:iCs/>
                <w:szCs w:val="22"/>
                <w:lang w:val="en-GB" w:bidi="ar-SA"/>
              </w:rPr>
            </w:pPr>
            <w:r w:rsidRPr="008C0160">
              <w:rPr>
                <w:bCs/>
                <w:iCs/>
                <w:szCs w:val="22"/>
                <w:lang w:bidi="ar-SA"/>
              </w:rPr>
              <w:t>A white, crystalline solid with the formula (NH</w:t>
            </w:r>
            <w:r w:rsidRPr="008C0160">
              <w:rPr>
                <w:bCs/>
                <w:iCs/>
                <w:szCs w:val="22"/>
                <w:vertAlign w:val="subscript"/>
                <w:lang w:bidi="ar-SA"/>
              </w:rPr>
              <w:t>4</w:t>
            </w:r>
            <w:r w:rsidRPr="008C0160">
              <w:rPr>
                <w:bCs/>
                <w:iCs/>
                <w:szCs w:val="22"/>
                <w:lang w:bidi="ar-SA"/>
              </w:rPr>
              <w:t>)HSO</w:t>
            </w:r>
            <w:r w:rsidR="00907BAC">
              <w:rPr>
                <w:bCs/>
                <w:iCs/>
                <w:szCs w:val="22"/>
                <w:vertAlign w:val="subscript"/>
                <w:lang w:bidi="ar-SA"/>
              </w:rPr>
              <w:t>3</w:t>
            </w:r>
            <w:r w:rsidRPr="008C0160">
              <w:rPr>
                <w:bCs/>
                <w:iCs/>
                <w:szCs w:val="22"/>
                <w:lang w:bidi="ar-SA"/>
              </w:rPr>
              <w:t>. It is the product of the half-neutralization of sulfuric acid by ammonia. It dissolves in water and is added to wine must via an aqueous solution.</w:t>
            </w:r>
          </w:p>
        </w:tc>
      </w:tr>
      <w:tr w:rsidR="007072AF" w:rsidRPr="008C0160" w14:paraId="30A5912F" w14:textId="77777777" w:rsidTr="00CB40DF">
        <w:tc>
          <w:tcPr>
            <w:tcW w:w="2088" w:type="dxa"/>
          </w:tcPr>
          <w:p w14:paraId="26E62DAA" w14:textId="77777777" w:rsidR="007072AF" w:rsidRPr="0017617B" w:rsidRDefault="007072AF" w:rsidP="007072AF">
            <w:pPr>
              <w:keepNext/>
              <w:widowControl/>
              <w:spacing w:before="240" w:after="240"/>
              <w:ind w:left="851" w:hanging="851"/>
              <w:outlineLvl w:val="3"/>
              <w:rPr>
                <w:bCs/>
                <w:i/>
                <w:iCs/>
                <w:szCs w:val="22"/>
                <w:lang w:val="en-GB" w:bidi="ar-SA"/>
              </w:rPr>
            </w:pPr>
            <w:r w:rsidRPr="008C0160">
              <w:rPr>
                <w:bCs/>
                <w:i/>
                <w:iCs/>
                <w:szCs w:val="22"/>
                <w:lang w:bidi="ar-SA"/>
              </w:rPr>
              <w:t>Chemical name:</w:t>
            </w:r>
          </w:p>
        </w:tc>
        <w:tc>
          <w:tcPr>
            <w:tcW w:w="7198" w:type="dxa"/>
          </w:tcPr>
          <w:p w14:paraId="67728D5A" w14:textId="77777777" w:rsidR="007072AF" w:rsidRPr="0017617B" w:rsidRDefault="007D14A1" w:rsidP="007072AF">
            <w:pPr>
              <w:keepNext/>
              <w:widowControl/>
              <w:spacing w:before="240" w:after="240"/>
              <w:outlineLvl w:val="3"/>
              <w:rPr>
                <w:bCs/>
                <w:iCs/>
                <w:szCs w:val="22"/>
                <w:lang w:val="en-GB" w:bidi="ar-SA"/>
              </w:rPr>
            </w:pPr>
            <w:r w:rsidRPr="00AB6B8B">
              <w:rPr>
                <w:szCs w:val="22"/>
                <w:lang w:bidi="ar-SA"/>
              </w:rPr>
              <w:t>Ammonium bisulphite</w:t>
            </w:r>
          </w:p>
        </w:tc>
      </w:tr>
      <w:tr w:rsidR="007072AF" w:rsidRPr="008C0160" w14:paraId="2405F5BD" w14:textId="77777777" w:rsidTr="00CB40DF">
        <w:trPr>
          <w:trHeight w:val="604"/>
        </w:trPr>
        <w:tc>
          <w:tcPr>
            <w:tcW w:w="2088" w:type="dxa"/>
          </w:tcPr>
          <w:p w14:paraId="5ABF8998" w14:textId="77777777" w:rsidR="007072AF" w:rsidRPr="0017617B" w:rsidRDefault="007072AF" w:rsidP="007072AF">
            <w:pPr>
              <w:keepNext/>
              <w:widowControl/>
              <w:spacing w:before="240" w:after="240"/>
              <w:outlineLvl w:val="3"/>
              <w:rPr>
                <w:bCs/>
                <w:i/>
                <w:iCs/>
                <w:szCs w:val="22"/>
                <w:lang w:val="en-GB" w:bidi="ar-SA"/>
              </w:rPr>
            </w:pPr>
            <w:r w:rsidRPr="008C0160">
              <w:rPr>
                <w:bCs/>
                <w:i/>
                <w:iCs/>
                <w:szCs w:val="22"/>
                <w:lang w:bidi="ar-SA"/>
              </w:rPr>
              <w:t>Common names:</w:t>
            </w:r>
          </w:p>
        </w:tc>
        <w:tc>
          <w:tcPr>
            <w:tcW w:w="7198" w:type="dxa"/>
          </w:tcPr>
          <w:p w14:paraId="010E7E0A" w14:textId="77777777" w:rsidR="007072AF" w:rsidRPr="0017617B" w:rsidRDefault="009E2BE2" w:rsidP="007D14A1">
            <w:pPr>
              <w:keepNext/>
              <w:widowControl/>
              <w:spacing w:before="240" w:after="240"/>
              <w:outlineLvl w:val="3"/>
              <w:rPr>
                <w:bCs/>
                <w:iCs/>
                <w:szCs w:val="22"/>
                <w:lang w:val="en-GB" w:bidi="ar-SA"/>
              </w:rPr>
            </w:pPr>
            <w:r w:rsidRPr="008C0160">
              <w:rPr>
                <w:bCs/>
                <w:iCs/>
                <w:szCs w:val="22"/>
                <w:lang w:bidi="ar-SA"/>
              </w:rPr>
              <w:t xml:space="preserve">Ammonium </w:t>
            </w:r>
            <w:r w:rsidR="007D14A1">
              <w:rPr>
                <w:bCs/>
                <w:iCs/>
                <w:szCs w:val="22"/>
                <w:lang w:bidi="ar-SA"/>
              </w:rPr>
              <w:t xml:space="preserve">hydrogen </w:t>
            </w:r>
            <w:r w:rsidRPr="008C0160">
              <w:rPr>
                <w:bCs/>
                <w:iCs/>
                <w:szCs w:val="22"/>
                <w:lang w:bidi="ar-SA"/>
              </w:rPr>
              <w:t xml:space="preserve">sulphite, </w:t>
            </w:r>
            <w:r w:rsidR="007072AF" w:rsidRPr="008C0160">
              <w:rPr>
                <w:bCs/>
                <w:iCs/>
                <w:szCs w:val="22"/>
                <w:lang w:bidi="ar-SA"/>
              </w:rPr>
              <w:t>Monoammoniumsulphite, Ammoniummonosulphite; Ammoniumhydrosulphite; Ammonium acid sulphite; Ammonium bisulphite solid; Ammonium sulphite hydrogen</w:t>
            </w:r>
          </w:p>
        </w:tc>
      </w:tr>
      <w:tr w:rsidR="007072AF" w:rsidRPr="008C0160" w14:paraId="444C1C2C" w14:textId="77777777" w:rsidTr="00CB40DF">
        <w:tc>
          <w:tcPr>
            <w:tcW w:w="2088" w:type="dxa"/>
          </w:tcPr>
          <w:p w14:paraId="13B11EAB" w14:textId="77777777" w:rsidR="007072AF" w:rsidRPr="0017617B" w:rsidRDefault="007072AF" w:rsidP="007072AF">
            <w:pPr>
              <w:keepNext/>
              <w:widowControl/>
              <w:spacing w:before="240" w:after="240"/>
              <w:outlineLvl w:val="3"/>
              <w:rPr>
                <w:bCs/>
                <w:i/>
                <w:iCs/>
                <w:szCs w:val="22"/>
                <w:lang w:val="en-GB" w:bidi="ar-SA"/>
              </w:rPr>
            </w:pPr>
            <w:r w:rsidRPr="008C0160">
              <w:rPr>
                <w:bCs/>
                <w:i/>
                <w:iCs/>
                <w:szCs w:val="22"/>
                <w:lang w:bidi="ar-SA"/>
              </w:rPr>
              <w:t>CAS registry number:</w:t>
            </w:r>
          </w:p>
        </w:tc>
        <w:tc>
          <w:tcPr>
            <w:tcW w:w="7198" w:type="dxa"/>
          </w:tcPr>
          <w:p w14:paraId="0CF23E49" w14:textId="77777777" w:rsidR="007072AF" w:rsidRPr="0017617B" w:rsidRDefault="007072AF" w:rsidP="007072AF">
            <w:pPr>
              <w:keepNext/>
              <w:widowControl/>
              <w:spacing w:before="240" w:after="240"/>
              <w:outlineLvl w:val="3"/>
              <w:rPr>
                <w:bCs/>
                <w:iCs/>
                <w:szCs w:val="22"/>
                <w:lang w:val="en-GB" w:bidi="ar-SA"/>
              </w:rPr>
            </w:pPr>
            <w:r w:rsidRPr="008C0160">
              <w:rPr>
                <w:bCs/>
                <w:iCs/>
                <w:szCs w:val="22"/>
                <w:lang w:bidi="ar-SA"/>
              </w:rPr>
              <w:t>10192-30-0</w:t>
            </w:r>
          </w:p>
        </w:tc>
      </w:tr>
      <w:tr w:rsidR="007072AF" w:rsidRPr="008C0160" w14:paraId="1D25083D" w14:textId="77777777" w:rsidTr="00CB40DF">
        <w:tc>
          <w:tcPr>
            <w:tcW w:w="2088" w:type="dxa"/>
          </w:tcPr>
          <w:p w14:paraId="36E1952C" w14:textId="77777777" w:rsidR="007072AF" w:rsidRPr="0017617B" w:rsidRDefault="007072AF" w:rsidP="007072AF">
            <w:pPr>
              <w:keepNext/>
              <w:widowControl/>
              <w:spacing w:before="240" w:after="240"/>
              <w:outlineLvl w:val="3"/>
              <w:rPr>
                <w:bCs/>
                <w:i/>
                <w:iCs/>
                <w:szCs w:val="22"/>
                <w:lang w:val="en-GB" w:bidi="ar-SA"/>
              </w:rPr>
            </w:pPr>
            <w:r w:rsidRPr="008C0160">
              <w:rPr>
                <w:bCs/>
                <w:i/>
                <w:iCs/>
                <w:szCs w:val="22"/>
                <w:lang w:bidi="ar-SA"/>
              </w:rPr>
              <w:t>Chemical formula:</w:t>
            </w:r>
          </w:p>
        </w:tc>
        <w:tc>
          <w:tcPr>
            <w:tcW w:w="7198" w:type="dxa"/>
          </w:tcPr>
          <w:p w14:paraId="0724783A" w14:textId="77777777" w:rsidR="007072AF" w:rsidRPr="0017617B" w:rsidRDefault="00907BAC" w:rsidP="007072AF">
            <w:pPr>
              <w:keepNext/>
              <w:widowControl/>
              <w:spacing w:before="240" w:after="240"/>
              <w:outlineLvl w:val="3"/>
              <w:rPr>
                <w:bCs/>
                <w:iCs/>
                <w:szCs w:val="22"/>
                <w:lang w:val="en-GB" w:bidi="ar-SA"/>
              </w:rPr>
            </w:pPr>
            <w:r w:rsidRPr="008C0160">
              <w:rPr>
                <w:bCs/>
                <w:iCs/>
                <w:szCs w:val="22"/>
                <w:lang w:bidi="ar-SA"/>
              </w:rPr>
              <w:t>(NH</w:t>
            </w:r>
            <w:r w:rsidRPr="008C0160">
              <w:rPr>
                <w:bCs/>
                <w:iCs/>
                <w:szCs w:val="22"/>
                <w:vertAlign w:val="subscript"/>
                <w:lang w:bidi="ar-SA"/>
              </w:rPr>
              <w:t>4</w:t>
            </w:r>
            <w:r w:rsidRPr="008C0160">
              <w:rPr>
                <w:bCs/>
                <w:iCs/>
                <w:szCs w:val="22"/>
                <w:lang w:bidi="ar-SA"/>
              </w:rPr>
              <w:t>)HSO</w:t>
            </w:r>
            <w:r>
              <w:rPr>
                <w:bCs/>
                <w:iCs/>
                <w:szCs w:val="22"/>
                <w:vertAlign w:val="subscript"/>
                <w:lang w:bidi="ar-SA"/>
              </w:rPr>
              <w:t>3</w:t>
            </w:r>
          </w:p>
        </w:tc>
      </w:tr>
      <w:tr w:rsidR="007072AF" w:rsidRPr="008C0160" w14:paraId="071869F8" w14:textId="77777777" w:rsidTr="00CB40DF">
        <w:tc>
          <w:tcPr>
            <w:tcW w:w="2088" w:type="dxa"/>
          </w:tcPr>
          <w:p w14:paraId="30B9C45C" w14:textId="77777777" w:rsidR="007072AF" w:rsidRPr="0017617B" w:rsidRDefault="007072AF" w:rsidP="007072AF">
            <w:pPr>
              <w:keepNext/>
              <w:widowControl/>
              <w:spacing w:before="240" w:after="240"/>
              <w:outlineLvl w:val="3"/>
              <w:rPr>
                <w:bCs/>
                <w:i/>
                <w:iCs/>
                <w:szCs w:val="22"/>
                <w:lang w:val="en-GB" w:bidi="ar-SA"/>
              </w:rPr>
            </w:pPr>
            <w:r w:rsidRPr="008C0160">
              <w:rPr>
                <w:bCs/>
                <w:i/>
                <w:iCs/>
                <w:szCs w:val="22"/>
                <w:lang w:bidi="ar-SA"/>
              </w:rPr>
              <w:t>Molecular weight:</w:t>
            </w:r>
          </w:p>
        </w:tc>
        <w:tc>
          <w:tcPr>
            <w:tcW w:w="7198" w:type="dxa"/>
          </w:tcPr>
          <w:p w14:paraId="61AEB9BD" w14:textId="77777777" w:rsidR="007072AF" w:rsidRPr="0017617B" w:rsidRDefault="00D86928" w:rsidP="007072AF">
            <w:pPr>
              <w:keepNext/>
              <w:widowControl/>
              <w:spacing w:before="240" w:after="240"/>
              <w:outlineLvl w:val="3"/>
              <w:rPr>
                <w:bCs/>
                <w:iCs/>
                <w:szCs w:val="22"/>
                <w:lang w:val="en-GB" w:bidi="ar-SA"/>
              </w:rPr>
            </w:pPr>
            <w:r>
              <w:rPr>
                <w:bCs/>
                <w:iCs/>
                <w:szCs w:val="22"/>
                <w:lang w:bidi="ar-SA"/>
              </w:rPr>
              <w:t>99.11</w:t>
            </w:r>
            <w:r w:rsidR="007072AF" w:rsidRPr="008C0160">
              <w:rPr>
                <w:bCs/>
                <w:iCs/>
                <w:szCs w:val="22"/>
                <w:lang w:bidi="ar-SA"/>
              </w:rPr>
              <w:t xml:space="preserve"> g/mol</w:t>
            </w:r>
          </w:p>
        </w:tc>
      </w:tr>
      <w:tr w:rsidR="007072AF" w:rsidRPr="008C0160" w14:paraId="57028A03" w14:textId="77777777" w:rsidTr="00CB40DF">
        <w:trPr>
          <w:trHeight w:val="715"/>
        </w:trPr>
        <w:tc>
          <w:tcPr>
            <w:tcW w:w="2088" w:type="dxa"/>
          </w:tcPr>
          <w:p w14:paraId="4EA60E8F" w14:textId="77777777" w:rsidR="007072AF" w:rsidRPr="0017617B" w:rsidRDefault="007072AF" w:rsidP="007072AF">
            <w:pPr>
              <w:keepNext/>
              <w:widowControl/>
              <w:spacing w:before="240" w:after="240"/>
              <w:outlineLvl w:val="3"/>
              <w:rPr>
                <w:bCs/>
                <w:i/>
                <w:iCs/>
                <w:szCs w:val="22"/>
                <w:lang w:val="en-GB" w:bidi="ar-SA"/>
              </w:rPr>
            </w:pPr>
            <w:r w:rsidRPr="008C0160">
              <w:rPr>
                <w:bCs/>
                <w:i/>
                <w:iCs/>
                <w:szCs w:val="22"/>
                <w:lang w:bidi="ar-SA"/>
              </w:rPr>
              <w:t>Structural formula:</w:t>
            </w:r>
          </w:p>
        </w:tc>
        <w:tc>
          <w:tcPr>
            <w:tcW w:w="7198" w:type="dxa"/>
          </w:tcPr>
          <w:p w14:paraId="53895805" w14:textId="77777777" w:rsidR="007072AF" w:rsidRPr="0017617B" w:rsidRDefault="007072AF" w:rsidP="007072AF">
            <w:pPr>
              <w:keepNext/>
              <w:widowControl/>
              <w:spacing w:before="240" w:after="240"/>
              <w:outlineLvl w:val="3"/>
              <w:rPr>
                <w:bCs/>
                <w:iCs/>
                <w:szCs w:val="22"/>
                <w:lang w:val="en-GB" w:bidi="ar-SA"/>
              </w:rPr>
            </w:pPr>
          </w:p>
        </w:tc>
      </w:tr>
    </w:tbl>
    <w:p w14:paraId="177578E6" w14:textId="77777777" w:rsidR="007072AF" w:rsidRPr="00C46ADB" w:rsidRDefault="002E6141" w:rsidP="00C46ADB">
      <w:pPr>
        <w:widowControl/>
      </w:pPr>
      <w:r>
        <w:rPr>
          <w:rFonts w:cs="Arial"/>
          <w:b/>
          <w:bCs/>
          <w:sz w:val="28"/>
          <w:szCs w:val="22"/>
          <w:lang w:bidi="ar-SA"/>
        </w:rPr>
        <w:tab/>
      </w:r>
      <w:r>
        <w:rPr>
          <w:rFonts w:cs="Arial"/>
          <w:b/>
          <w:bCs/>
          <w:sz w:val="28"/>
          <w:szCs w:val="22"/>
          <w:lang w:bidi="ar-SA"/>
        </w:rPr>
        <w:tab/>
      </w:r>
      <w:r w:rsidR="004A70EC">
        <w:rPr>
          <w:rFonts w:cs="Arial"/>
          <w:b/>
          <w:bCs/>
          <w:sz w:val="28"/>
          <w:szCs w:val="22"/>
          <w:lang w:bidi="ar-SA"/>
        </w:rPr>
        <w:tab/>
      </w:r>
      <w:r w:rsidR="004A70EC">
        <w:rPr>
          <w:rFonts w:cs="Arial"/>
          <w:b/>
          <w:bCs/>
          <w:sz w:val="28"/>
          <w:szCs w:val="22"/>
          <w:lang w:bidi="ar-SA"/>
        </w:rPr>
        <w:tab/>
      </w:r>
      <w:r w:rsidR="00CB40DF" w:rsidRPr="009F4510">
        <w:rPr>
          <w:noProof/>
          <w:lang w:eastAsia="en-GB" w:bidi="ar-SA"/>
        </w:rPr>
        <w:drawing>
          <wp:inline distT="0" distB="0" distL="0" distR="0" wp14:anchorId="65485580" wp14:editId="39F81D6B">
            <wp:extent cx="2011680" cy="891843"/>
            <wp:effectExtent l="0" t="0" r="762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011680" cy="891843"/>
                    </a:xfrm>
                    <a:prstGeom prst="rect">
                      <a:avLst/>
                    </a:prstGeom>
                  </pic:spPr>
                </pic:pic>
              </a:graphicData>
            </a:graphic>
          </wp:inline>
        </w:drawing>
      </w:r>
    </w:p>
    <w:p w14:paraId="10ABC0F0" w14:textId="77777777" w:rsidR="00615352" w:rsidRPr="008C0160" w:rsidRDefault="00615352" w:rsidP="007072AF">
      <w:pPr>
        <w:widowControl/>
        <w:rPr>
          <w:rFonts w:eastAsia="Calibri"/>
          <w:szCs w:val="22"/>
          <w:lang w:bidi="ar-SA"/>
        </w:rPr>
      </w:pPr>
    </w:p>
    <w:p w14:paraId="28155F33" w14:textId="77777777" w:rsidR="007072AF" w:rsidRPr="008C0160" w:rsidRDefault="00003031" w:rsidP="0017617B">
      <w:pPr>
        <w:pStyle w:val="Heading3"/>
      </w:pPr>
      <w:bookmarkStart w:id="189" w:name="_Toc476908611"/>
      <w:bookmarkStart w:id="190" w:name="_Toc478375833"/>
      <w:r w:rsidRPr="00A33A38">
        <w:t>2.4</w:t>
      </w:r>
      <w:r w:rsidRPr="00A33A38">
        <w:tab/>
      </w:r>
      <w:bookmarkStart w:id="191" w:name="_Toc472668721"/>
      <w:r w:rsidR="007072AF" w:rsidRPr="008C0160">
        <w:t>Analytical method for detection</w:t>
      </w:r>
      <w:bookmarkEnd w:id="189"/>
      <w:bookmarkEnd w:id="190"/>
      <w:bookmarkEnd w:id="191"/>
    </w:p>
    <w:p w14:paraId="56F20137" w14:textId="77777777" w:rsidR="007072AF" w:rsidRPr="0017617B" w:rsidRDefault="00B92797" w:rsidP="007C4AAF">
      <w:pPr>
        <w:widowControl/>
        <w:rPr>
          <w:lang w:bidi="ar-SA"/>
        </w:rPr>
      </w:pPr>
      <w:r>
        <w:rPr>
          <w:lang w:bidi="ar-SA"/>
        </w:rPr>
        <w:t>Methods</w:t>
      </w:r>
      <w:r w:rsidRPr="0017617B">
        <w:rPr>
          <w:lang w:bidi="ar-SA"/>
        </w:rPr>
        <w:t xml:space="preserve"> </w:t>
      </w:r>
      <w:r w:rsidR="007072AF" w:rsidRPr="0017617B">
        <w:rPr>
          <w:lang w:bidi="ar-SA"/>
        </w:rPr>
        <w:t>for identif</w:t>
      </w:r>
      <w:r w:rsidR="002B5CA0" w:rsidRPr="0017617B">
        <w:rPr>
          <w:lang w:bidi="ar-SA"/>
        </w:rPr>
        <w:t>ying</w:t>
      </w:r>
      <w:r w:rsidR="007072AF" w:rsidRPr="0017617B">
        <w:rPr>
          <w:lang w:bidi="ar-SA"/>
        </w:rPr>
        <w:t xml:space="preserve"> </w:t>
      </w:r>
      <w:r w:rsidR="007D14A1">
        <w:rPr>
          <w:lang w:bidi="ar-SA"/>
        </w:rPr>
        <w:t>ammonium bisulphite</w:t>
      </w:r>
      <w:r w:rsidR="007F75F3" w:rsidRPr="008C0160">
        <w:rPr>
          <w:lang w:bidi="ar-SA"/>
        </w:rPr>
        <w:t xml:space="preserve"> </w:t>
      </w:r>
      <w:r w:rsidR="007072AF" w:rsidRPr="0017617B">
        <w:rPr>
          <w:lang w:bidi="ar-SA"/>
        </w:rPr>
        <w:t xml:space="preserve">are provided by the applicant by referencing the International Oenological Codex (IOC); </w:t>
      </w:r>
      <w:r w:rsidR="007D14A1">
        <w:rPr>
          <w:lang w:bidi="ar-SA"/>
        </w:rPr>
        <w:t>Ammonium bisulphite</w:t>
      </w:r>
      <w:r w:rsidR="007072AF" w:rsidRPr="0017617B">
        <w:rPr>
          <w:lang w:bidi="ar-SA"/>
        </w:rPr>
        <w:t xml:space="preserve"> COEI-1-AMMHYD: 2007. </w:t>
      </w:r>
    </w:p>
    <w:p w14:paraId="1D258515" w14:textId="77777777" w:rsidR="007F75F3" w:rsidRPr="0017617B" w:rsidRDefault="007F75F3" w:rsidP="007C4AAF">
      <w:pPr>
        <w:widowControl/>
        <w:rPr>
          <w:lang w:bidi="ar-SA"/>
        </w:rPr>
      </w:pPr>
    </w:p>
    <w:p w14:paraId="436F31E6" w14:textId="77777777" w:rsidR="007072AF" w:rsidRPr="0017617B" w:rsidRDefault="007072AF" w:rsidP="007C4AAF">
      <w:pPr>
        <w:widowControl/>
        <w:rPr>
          <w:lang w:bidi="ar-SA"/>
        </w:rPr>
      </w:pPr>
      <w:r w:rsidRPr="0017617B">
        <w:rPr>
          <w:lang w:bidi="ar-SA"/>
        </w:rPr>
        <w:t xml:space="preserve">Aqueous solutions of </w:t>
      </w:r>
      <w:r w:rsidR="007D14A1">
        <w:rPr>
          <w:lang w:bidi="ar-SA"/>
        </w:rPr>
        <w:t>ammonium bisulphite</w:t>
      </w:r>
      <w:r w:rsidRPr="0017617B">
        <w:rPr>
          <w:lang w:bidi="ar-SA"/>
        </w:rPr>
        <w:t xml:space="preserve"> produce reactions of ammonium (release of ammonia in the presence of sodium hydroxide when heated) and sulphur dioxide (filter paper soaked in potassium iodate and starch turns blue).</w:t>
      </w:r>
    </w:p>
    <w:p w14:paraId="1BDA1208" w14:textId="77777777" w:rsidR="007072AF" w:rsidRPr="008C0160" w:rsidRDefault="00003031" w:rsidP="0017617B">
      <w:pPr>
        <w:pStyle w:val="Heading3"/>
      </w:pPr>
      <w:bookmarkStart w:id="192" w:name="_Toc472668722"/>
      <w:bookmarkStart w:id="193" w:name="_Toc476908612"/>
      <w:bookmarkStart w:id="194" w:name="_Toc478375834"/>
      <w:r w:rsidRPr="008C0160">
        <w:t>2.5</w:t>
      </w:r>
      <w:r w:rsidRPr="008C0160">
        <w:tab/>
      </w:r>
      <w:r w:rsidR="007072AF" w:rsidRPr="008C0160">
        <w:t>Manufacturing process</w:t>
      </w:r>
      <w:bookmarkEnd w:id="192"/>
      <w:bookmarkEnd w:id="193"/>
      <w:bookmarkEnd w:id="194"/>
    </w:p>
    <w:p w14:paraId="17F28FB4" w14:textId="77777777" w:rsidR="007072AF" w:rsidRPr="0017617B" w:rsidRDefault="002A5E07" w:rsidP="007C4AAF">
      <w:pPr>
        <w:widowControl/>
        <w:rPr>
          <w:lang w:bidi="ar-SA"/>
        </w:rPr>
      </w:pPr>
      <w:r>
        <w:rPr>
          <w:lang w:bidi="ar-SA"/>
        </w:rPr>
        <w:t>Concentrated sulph</w:t>
      </w:r>
      <w:r w:rsidR="008F230D">
        <w:rPr>
          <w:lang w:bidi="ar-SA"/>
        </w:rPr>
        <w:t xml:space="preserve">ur dioxide </w:t>
      </w:r>
      <w:r w:rsidR="008F230D" w:rsidRPr="008F230D">
        <w:rPr>
          <w:lang w:bidi="ar-SA"/>
        </w:rPr>
        <w:t>is adsorbed in a solution of ammonia to make a concentr</w:t>
      </w:r>
      <w:r>
        <w:rPr>
          <w:lang w:bidi="ar-SA"/>
        </w:rPr>
        <w:t>ated solution of ammonium bisulph</w:t>
      </w:r>
      <w:r w:rsidR="008F230D" w:rsidRPr="008F230D">
        <w:rPr>
          <w:lang w:bidi="ar-SA"/>
        </w:rPr>
        <w:t>ite.</w:t>
      </w:r>
      <w:r>
        <w:rPr>
          <w:lang w:bidi="ar-SA"/>
        </w:rPr>
        <w:t xml:space="preserve"> </w:t>
      </w:r>
      <w:r w:rsidR="008F230D" w:rsidRPr="0017617B">
        <w:rPr>
          <w:lang w:bidi="ar-SA"/>
        </w:rPr>
        <w:t xml:space="preserve">Pure </w:t>
      </w:r>
      <w:r w:rsidR="008F230D">
        <w:rPr>
          <w:lang w:bidi="ar-SA"/>
        </w:rPr>
        <w:t>ammonium bisulphite</w:t>
      </w:r>
      <w:r w:rsidR="008F230D" w:rsidRPr="008C0160">
        <w:rPr>
          <w:lang w:bidi="ar-SA"/>
        </w:rPr>
        <w:t xml:space="preserve"> </w:t>
      </w:r>
      <w:r w:rsidR="008F230D" w:rsidRPr="0017617B">
        <w:rPr>
          <w:lang w:bidi="ar-SA"/>
        </w:rPr>
        <w:t>is a white crystalline solid. Commercially, however the aqueous solution is a transparent, slightly yellowy liquid with a slight odour of ammonium. It is available in various levels of concentration, with 60% concentration being common.</w:t>
      </w:r>
    </w:p>
    <w:p w14:paraId="4F7FBB37" w14:textId="77777777" w:rsidR="007072AF" w:rsidRPr="008C0160" w:rsidRDefault="00003031" w:rsidP="0017617B">
      <w:pPr>
        <w:pStyle w:val="Heading3"/>
      </w:pPr>
      <w:bookmarkStart w:id="195" w:name="_Toc472668723"/>
      <w:bookmarkStart w:id="196" w:name="_Toc476908613"/>
      <w:bookmarkStart w:id="197" w:name="_Toc478375835"/>
      <w:r w:rsidRPr="008C0160">
        <w:lastRenderedPageBreak/>
        <w:t>2.6</w:t>
      </w:r>
      <w:r w:rsidRPr="008C0160">
        <w:tab/>
      </w:r>
      <w:r w:rsidR="007072AF" w:rsidRPr="008C0160">
        <w:t>Product specification</w:t>
      </w:r>
      <w:bookmarkEnd w:id="195"/>
      <w:bookmarkEnd w:id="196"/>
      <w:bookmarkEnd w:id="197"/>
    </w:p>
    <w:p w14:paraId="723E0A1D" w14:textId="77777777" w:rsidR="007072AF" w:rsidRPr="0017617B" w:rsidRDefault="007072AF" w:rsidP="007C4AAF">
      <w:pPr>
        <w:widowControl/>
        <w:rPr>
          <w:lang w:bidi="ar-SA"/>
        </w:rPr>
      </w:pPr>
      <w:r w:rsidRPr="0017617B">
        <w:rPr>
          <w:lang w:bidi="ar-SA"/>
        </w:rPr>
        <w:t xml:space="preserve">Any supplier of </w:t>
      </w:r>
      <w:r w:rsidR="007D14A1">
        <w:rPr>
          <w:lang w:bidi="ar-SA"/>
        </w:rPr>
        <w:t>ammonium bisulphite</w:t>
      </w:r>
      <w:r w:rsidR="00ED15F9" w:rsidRPr="008C0160">
        <w:rPr>
          <w:lang w:bidi="ar-SA"/>
        </w:rPr>
        <w:t xml:space="preserve"> </w:t>
      </w:r>
      <w:r w:rsidRPr="0017617B">
        <w:rPr>
          <w:lang w:bidi="ar-SA"/>
        </w:rPr>
        <w:t xml:space="preserve">would need to meet the requirements set out in the OIV </w:t>
      </w:r>
      <w:r w:rsidR="00102439" w:rsidRPr="0017617B">
        <w:rPr>
          <w:lang w:bidi="ar-SA"/>
        </w:rPr>
        <w:t>IOC</w:t>
      </w:r>
      <w:r w:rsidRPr="0017617B">
        <w:rPr>
          <w:lang w:bidi="ar-SA"/>
        </w:rPr>
        <w:t xml:space="preserve"> </w:t>
      </w:r>
      <w:r w:rsidR="007D14A1">
        <w:rPr>
          <w:lang w:bidi="ar-SA"/>
        </w:rPr>
        <w:t>Ammonium bisulphite</w:t>
      </w:r>
      <w:r w:rsidRPr="0017617B">
        <w:rPr>
          <w:lang w:bidi="ar-SA"/>
        </w:rPr>
        <w:t xml:space="preserve"> COEI-1-AMMHYD: 2007</w:t>
      </w:r>
      <w:r w:rsidR="00D6068A" w:rsidRPr="0017617B">
        <w:rPr>
          <w:lang w:bidi="ar-SA"/>
        </w:rPr>
        <w:t>,</w:t>
      </w:r>
      <w:r w:rsidRPr="0017617B">
        <w:rPr>
          <w:lang w:bidi="ar-SA"/>
        </w:rPr>
        <w:t xml:space="preserve"> which is one of the secondary references for specifications in S3—3(j) of the Code. </w:t>
      </w:r>
    </w:p>
    <w:p w14:paraId="5116F245" w14:textId="77777777" w:rsidR="007072AF" w:rsidRPr="008C0160" w:rsidRDefault="00003031" w:rsidP="0017617B">
      <w:pPr>
        <w:pStyle w:val="Heading3"/>
      </w:pPr>
      <w:bookmarkStart w:id="198" w:name="_Toc472668724"/>
      <w:bookmarkStart w:id="199" w:name="_Toc476908614"/>
      <w:bookmarkStart w:id="200" w:name="_Toc478375836"/>
      <w:r w:rsidRPr="008C0160">
        <w:t>2.7</w:t>
      </w:r>
      <w:r w:rsidRPr="008C0160">
        <w:tab/>
      </w:r>
      <w:r w:rsidR="007C4AAF" w:rsidRPr="008C0160">
        <w:t>Food technology c</w:t>
      </w:r>
      <w:r w:rsidR="007072AF" w:rsidRPr="008C0160">
        <w:t>onclusion</w:t>
      </w:r>
      <w:bookmarkEnd w:id="198"/>
      <w:bookmarkEnd w:id="199"/>
      <w:bookmarkEnd w:id="200"/>
    </w:p>
    <w:p w14:paraId="78592518" w14:textId="77777777" w:rsidR="00EA5F06" w:rsidRPr="008C0160" w:rsidRDefault="007072AF" w:rsidP="008061D3">
      <w:pPr>
        <w:tabs>
          <w:tab w:val="left" w:pos="0"/>
        </w:tabs>
        <w:rPr>
          <w:lang w:bidi="ar-SA"/>
        </w:rPr>
      </w:pPr>
      <w:r w:rsidRPr="0017617B">
        <w:rPr>
          <w:lang w:bidi="ar-SA"/>
        </w:rPr>
        <w:t>FSANZ conclude</w:t>
      </w:r>
      <w:r w:rsidR="004E0CA6" w:rsidRPr="0017617B">
        <w:rPr>
          <w:lang w:bidi="ar-SA"/>
        </w:rPr>
        <w:t xml:space="preserve">s </w:t>
      </w:r>
      <w:r w:rsidRPr="0017617B">
        <w:rPr>
          <w:lang w:bidi="ar-SA"/>
        </w:rPr>
        <w:t xml:space="preserve">that the use of </w:t>
      </w:r>
      <w:r w:rsidR="007D14A1">
        <w:rPr>
          <w:lang w:bidi="ar-SA"/>
        </w:rPr>
        <w:t>ammonium bisulphite</w:t>
      </w:r>
      <w:r w:rsidR="00ED15F9" w:rsidRPr="008C0160">
        <w:rPr>
          <w:lang w:bidi="ar-SA"/>
        </w:rPr>
        <w:t xml:space="preserve"> </w:t>
      </w:r>
      <w:r w:rsidRPr="0017617B">
        <w:rPr>
          <w:lang w:bidi="ar-SA"/>
        </w:rPr>
        <w:t xml:space="preserve">is </w:t>
      </w:r>
      <w:r w:rsidR="004E0CA6" w:rsidRPr="0017617B">
        <w:rPr>
          <w:lang w:bidi="ar-SA"/>
        </w:rPr>
        <w:t xml:space="preserve">an </w:t>
      </w:r>
      <w:r w:rsidRPr="0017617B">
        <w:rPr>
          <w:lang w:bidi="ar-SA"/>
        </w:rPr>
        <w:t xml:space="preserve">efficient </w:t>
      </w:r>
      <w:r w:rsidR="004E0CA6" w:rsidRPr="0017617B">
        <w:rPr>
          <w:lang w:bidi="ar-SA"/>
        </w:rPr>
        <w:t xml:space="preserve">way </w:t>
      </w:r>
      <w:r w:rsidR="0017617B" w:rsidRPr="0017617B">
        <w:rPr>
          <w:lang w:bidi="ar-SA"/>
        </w:rPr>
        <w:t>to provide</w:t>
      </w:r>
      <w:r w:rsidR="004E0CA6" w:rsidRPr="0017617B">
        <w:rPr>
          <w:lang w:bidi="ar-SA"/>
        </w:rPr>
        <w:t xml:space="preserve"> </w:t>
      </w:r>
      <w:r w:rsidRPr="0017617B">
        <w:rPr>
          <w:lang w:bidi="ar-SA"/>
        </w:rPr>
        <w:t xml:space="preserve">nutrients to the yeast </w:t>
      </w:r>
      <w:r w:rsidR="00490315">
        <w:rPr>
          <w:lang w:bidi="ar-SA"/>
        </w:rPr>
        <w:t xml:space="preserve">as its primary function. </w:t>
      </w:r>
      <w:r w:rsidR="00490315" w:rsidRPr="00490315">
        <w:rPr>
          <w:lang w:bidi="ar-SA"/>
        </w:rPr>
        <w:t>FSANZ did note however, that sulphur dioxide (SO</w:t>
      </w:r>
      <w:r w:rsidR="00490315" w:rsidRPr="00490315">
        <w:rPr>
          <w:vertAlign w:val="subscript"/>
          <w:lang w:bidi="ar-SA"/>
        </w:rPr>
        <w:t>2</w:t>
      </w:r>
      <w:r w:rsidR="00490315" w:rsidRPr="00490315">
        <w:rPr>
          <w:lang w:bidi="ar-SA"/>
        </w:rPr>
        <w:t xml:space="preserve">) is also produced during the breakdown of ammonium bisulphite. </w:t>
      </w:r>
      <w:r w:rsidR="00490315" w:rsidRPr="0017617B">
        <w:rPr>
          <w:lang w:bidi="ar-SA"/>
        </w:rPr>
        <w:t>SO</w:t>
      </w:r>
      <w:r w:rsidR="00490315" w:rsidRPr="0017617B">
        <w:rPr>
          <w:vertAlign w:val="subscript"/>
          <w:lang w:bidi="ar-SA"/>
        </w:rPr>
        <w:t>2</w:t>
      </w:r>
      <w:r w:rsidR="00490315" w:rsidRPr="0017617B">
        <w:rPr>
          <w:lang w:bidi="ar-SA"/>
        </w:rPr>
        <w:t xml:space="preserve"> produced during the breakdown of the </w:t>
      </w:r>
      <w:r w:rsidR="00490315">
        <w:rPr>
          <w:lang w:bidi="ar-SA"/>
        </w:rPr>
        <w:t>ammonium bisulphite</w:t>
      </w:r>
      <w:r w:rsidR="00490315" w:rsidRPr="008C0160">
        <w:rPr>
          <w:lang w:bidi="ar-SA"/>
        </w:rPr>
        <w:t xml:space="preserve"> </w:t>
      </w:r>
      <w:r w:rsidR="00490315" w:rsidRPr="0017617B">
        <w:rPr>
          <w:lang w:bidi="ar-SA"/>
        </w:rPr>
        <w:t>complements the endogenous SO</w:t>
      </w:r>
      <w:r w:rsidR="00490315" w:rsidRPr="0017617B">
        <w:rPr>
          <w:vertAlign w:val="subscript"/>
          <w:lang w:bidi="ar-SA"/>
        </w:rPr>
        <w:t>2</w:t>
      </w:r>
      <w:r w:rsidR="00490315" w:rsidRPr="0017617B">
        <w:rPr>
          <w:lang w:bidi="ar-SA"/>
        </w:rPr>
        <w:t xml:space="preserve"> formed during fermentation and the intentionally added SO</w:t>
      </w:r>
      <w:r w:rsidR="00490315" w:rsidRPr="0017617B">
        <w:rPr>
          <w:vertAlign w:val="subscript"/>
          <w:lang w:bidi="ar-SA"/>
        </w:rPr>
        <w:t>2</w:t>
      </w:r>
      <w:r w:rsidR="00490315" w:rsidRPr="0017617B">
        <w:rPr>
          <w:lang w:bidi="ar-SA"/>
        </w:rPr>
        <w:t xml:space="preserve"> </w:t>
      </w:r>
      <w:r w:rsidR="00490315">
        <w:rPr>
          <w:lang w:bidi="ar-SA"/>
        </w:rPr>
        <w:t>providing</w:t>
      </w:r>
      <w:r w:rsidR="00490315" w:rsidRPr="0017617B">
        <w:rPr>
          <w:lang w:bidi="ar-SA"/>
        </w:rPr>
        <w:t xml:space="preserve"> a preservative </w:t>
      </w:r>
      <w:r w:rsidR="00490315">
        <w:rPr>
          <w:lang w:bidi="ar-SA"/>
        </w:rPr>
        <w:t xml:space="preserve">function. </w:t>
      </w:r>
      <w:r w:rsidR="00490315" w:rsidRPr="00490315">
        <w:rPr>
          <w:lang w:bidi="ar-SA"/>
        </w:rPr>
        <w:t xml:space="preserve">The primary technological function for ammonium bisulphite is for a yeast nutrient and its use as such is technologically justified. </w:t>
      </w:r>
      <w:r w:rsidR="00490315">
        <w:rPr>
          <w:lang w:bidi="ar-SA"/>
        </w:rPr>
        <w:t>Ammonium bisulphite</w:t>
      </w:r>
      <w:r w:rsidRPr="0017617B">
        <w:rPr>
          <w:lang w:bidi="ar-SA"/>
        </w:rPr>
        <w:t xml:space="preserve"> can also be added at various stages of the wine making process</w:t>
      </w:r>
      <w:r w:rsidR="004A6690" w:rsidRPr="0017617B">
        <w:rPr>
          <w:lang w:bidi="ar-SA"/>
        </w:rPr>
        <w:t xml:space="preserve"> and is preferred over alternatives </w:t>
      </w:r>
      <w:r w:rsidR="00CC6449" w:rsidRPr="0017617B">
        <w:rPr>
          <w:lang w:bidi="ar-SA"/>
        </w:rPr>
        <w:t xml:space="preserve">for its effectiveness and </w:t>
      </w:r>
      <w:r w:rsidR="004A6690" w:rsidRPr="0017617B">
        <w:rPr>
          <w:lang w:bidi="ar-SA"/>
        </w:rPr>
        <w:t>from a safe handling perspective</w:t>
      </w:r>
      <w:r w:rsidRPr="0017617B">
        <w:rPr>
          <w:lang w:bidi="ar-SA"/>
        </w:rPr>
        <w:t xml:space="preserve">. The use of </w:t>
      </w:r>
      <w:r w:rsidR="007D14A1">
        <w:rPr>
          <w:lang w:bidi="ar-SA"/>
        </w:rPr>
        <w:t>ammonium bisulphite</w:t>
      </w:r>
      <w:r w:rsidR="0044309A" w:rsidRPr="008C0160">
        <w:rPr>
          <w:lang w:bidi="ar-SA"/>
        </w:rPr>
        <w:t xml:space="preserve"> </w:t>
      </w:r>
      <w:r w:rsidRPr="0017617B">
        <w:rPr>
          <w:lang w:bidi="ar-SA"/>
        </w:rPr>
        <w:t>as a processing aid is confirmed by the fact that the ammonium ions are metabolised by the yeast during fermentation, thereby effectively removing them from the final product.</w:t>
      </w:r>
      <w:r w:rsidR="006412C1" w:rsidRPr="008C0160">
        <w:rPr>
          <w:rFonts w:eastAsia="Calibri"/>
          <w:szCs w:val="22"/>
          <w:lang w:bidi="ar-SA"/>
        </w:rPr>
        <w:t xml:space="preserve"> </w:t>
      </w:r>
      <w:r w:rsidR="00235616">
        <w:rPr>
          <w:rFonts w:eastAsia="Calibri"/>
          <w:szCs w:val="22"/>
          <w:lang w:bidi="ar-SA"/>
        </w:rPr>
        <w:t>Ammonium bisulphite will be p</w:t>
      </w:r>
      <w:r w:rsidR="00A434A9">
        <w:rPr>
          <w:rFonts w:eastAsia="Calibri"/>
          <w:szCs w:val="22"/>
          <w:lang w:bidi="ar-SA"/>
        </w:rPr>
        <w:t>ermitted fo</w:t>
      </w:r>
      <w:r w:rsidR="00235616">
        <w:rPr>
          <w:rFonts w:eastAsia="Calibri"/>
          <w:szCs w:val="22"/>
          <w:lang w:bidi="ar-SA"/>
        </w:rPr>
        <w:t>r</w:t>
      </w:r>
      <w:r w:rsidR="00A434A9">
        <w:rPr>
          <w:rFonts w:eastAsia="Calibri"/>
          <w:szCs w:val="22"/>
          <w:lang w:bidi="ar-SA"/>
        </w:rPr>
        <w:t xml:space="preserve"> </w:t>
      </w:r>
      <w:r w:rsidR="00235616">
        <w:rPr>
          <w:rFonts w:eastAsia="Calibri"/>
          <w:szCs w:val="22"/>
          <w:lang w:bidi="ar-SA"/>
        </w:rPr>
        <w:t>use at</w:t>
      </w:r>
      <w:r w:rsidR="00B528BC">
        <w:rPr>
          <w:rFonts w:eastAsia="Calibri"/>
          <w:szCs w:val="22"/>
          <w:lang w:bidi="ar-SA"/>
        </w:rPr>
        <w:t xml:space="preserve"> </w:t>
      </w:r>
      <w:r w:rsidR="00A434A9">
        <w:rPr>
          <w:rFonts w:eastAsia="Calibri"/>
          <w:szCs w:val="22"/>
          <w:lang w:bidi="ar-SA"/>
        </w:rPr>
        <w:t xml:space="preserve">GMP </w:t>
      </w:r>
      <w:r w:rsidR="00235616">
        <w:rPr>
          <w:rFonts w:eastAsia="Calibri"/>
          <w:szCs w:val="22"/>
          <w:lang w:bidi="ar-SA"/>
        </w:rPr>
        <w:t>levels</w:t>
      </w:r>
      <w:r w:rsidR="00A434A9">
        <w:rPr>
          <w:rFonts w:eastAsia="Calibri"/>
          <w:szCs w:val="22"/>
          <w:lang w:bidi="ar-SA"/>
        </w:rPr>
        <w:t xml:space="preserve">, which is the lowest possible level necessary to accomplish </w:t>
      </w:r>
      <w:r w:rsidR="005136FD">
        <w:rPr>
          <w:rFonts w:eastAsia="Calibri"/>
          <w:szCs w:val="22"/>
          <w:lang w:bidi="ar-SA"/>
        </w:rPr>
        <w:t>the intended</w:t>
      </w:r>
      <w:r w:rsidR="00A434A9">
        <w:rPr>
          <w:rFonts w:eastAsia="Calibri"/>
          <w:szCs w:val="22"/>
          <w:lang w:bidi="ar-SA"/>
        </w:rPr>
        <w:t xml:space="preserve"> effect.</w:t>
      </w:r>
      <w:r w:rsidR="00235616">
        <w:rPr>
          <w:rFonts w:eastAsia="Calibri"/>
          <w:szCs w:val="22"/>
          <w:lang w:bidi="ar-SA"/>
        </w:rPr>
        <w:t xml:space="preserve"> </w:t>
      </w:r>
      <w:r w:rsidR="00EA5F06" w:rsidRPr="008C0160">
        <w:rPr>
          <w:lang w:bidi="ar-SA"/>
        </w:rPr>
        <w:t xml:space="preserve">A specification for </w:t>
      </w:r>
      <w:r w:rsidR="007D14A1">
        <w:rPr>
          <w:lang w:bidi="ar-SA"/>
        </w:rPr>
        <w:t>ammonium bisulphite</w:t>
      </w:r>
      <w:r w:rsidR="00EA5F06" w:rsidRPr="008C0160">
        <w:rPr>
          <w:lang w:bidi="ar-SA"/>
        </w:rPr>
        <w:t xml:space="preserve"> which meets the requirements of the Code is provided by the OIV.  </w:t>
      </w:r>
    </w:p>
    <w:p w14:paraId="0EF0F65E" w14:textId="77777777" w:rsidR="00C929CC" w:rsidRPr="008C0160" w:rsidRDefault="00003031" w:rsidP="0017617B">
      <w:pPr>
        <w:pStyle w:val="Heading2"/>
      </w:pPr>
      <w:bookmarkStart w:id="201" w:name="_Toc466968561"/>
      <w:bookmarkStart w:id="202" w:name="_Toc472668725"/>
      <w:bookmarkStart w:id="203" w:name="_Toc476908615"/>
      <w:bookmarkStart w:id="204" w:name="_Toc478375837"/>
      <w:r w:rsidRPr="008C0160">
        <w:t>3</w:t>
      </w:r>
      <w:r w:rsidRPr="008C0160">
        <w:tab/>
      </w:r>
      <w:r w:rsidR="00C929CC" w:rsidRPr="008C0160">
        <w:t xml:space="preserve">Hazard </w:t>
      </w:r>
      <w:r w:rsidRPr="008C0160">
        <w:t>a</w:t>
      </w:r>
      <w:r w:rsidR="00C929CC" w:rsidRPr="008C0160">
        <w:t>ssessment</w:t>
      </w:r>
      <w:bookmarkEnd w:id="201"/>
      <w:bookmarkEnd w:id="202"/>
      <w:bookmarkEnd w:id="203"/>
      <w:bookmarkEnd w:id="204"/>
    </w:p>
    <w:p w14:paraId="4D28364F" w14:textId="77777777" w:rsidR="00C929CC" w:rsidRPr="008C0160" w:rsidRDefault="00003031" w:rsidP="0017617B">
      <w:pPr>
        <w:pStyle w:val="Heading3"/>
      </w:pPr>
      <w:bookmarkStart w:id="205" w:name="_Toc466968563"/>
      <w:bookmarkStart w:id="206" w:name="_Toc472668727"/>
      <w:bookmarkStart w:id="207" w:name="_Toc476908616"/>
      <w:bookmarkStart w:id="208" w:name="_Toc478375838"/>
      <w:r w:rsidRPr="008C0160">
        <w:t>3.1</w:t>
      </w:r>
      <w:r w:rsidRPr="008C0160">
        <w:tab/>
      </w:r>
      <w:r w:rsidR="00C929CC" w:rsidRPr="008C0160">
        <w:t>Toxicity studies</w:t>
      </w:r>
      <w:bookmarkEnd w:id="205"/>
      <w:bookmarkEnd w:id="206"/>
      <w:bookmarkEnd w:id="207"/>
      <w:bookmarkEnd w:id="208"/>
    </w:p>
    <w:p w14:paraId="1AB85D74" w14:textId="77777777" w:rsidR="00C929CC" w:rsidRPr="008C0160" w:rsidRDefault="00C929CC" w:rsidP="00C929CC">
      <w:pPr>
        <w:rPr>
          <w:lang w:eastAsia="en-AU" w:bidi="ar-SA"/>
        </w:rPr>
      </w:pPr>
      <w:r w:rsidRPr="008C0160">
        <w:rPr>
          <w:lang w:eastAsia="en-AU" w:bidi="ar-SA"/>
        </w:rPr>
        <w:t xml:space="preserve">The safety of sulphites has been the subject of extensive review by FSANZ under the recently completed Proposal 298. FSANZ concluded that the current ADI for sulphites, set by JECFA in 1973 and reiterated at subsequent JECFA reviews, is probably too low. The JECFA ADI is based on a NOAEL for gastric lesions in rats, but the findings are not consistently reproducible. There is no evidence that sulphites are developmental or reproductive toxicants, or that they are carcinogenic </w:t>
      </w:r>
      <w:r w:rsidRPr="008C0160">
        <w:rPr>
          <w:i/>
          <w:lang w:eastAsia="en-AU" w:bidi="ar-SA"/>
        </w:rPr>
        <w:t>in vivo</w:t>
      </w:r>
      <w:r w:rsidRPr="008C0160">
        <w:rPr>
          <w:lang w:eastAsia="en-AU" w:bidi="ar-SA"/>
        </w:rPr>
        <w:t xml:space="preserve">. Human toxicity is limited to hypersensitivity reactions in limited subpopulations. FSANZ concluded that a </w:t>
      </w:r>
      <w:r w:rsidR="00507D3C">
        <w:rPr>
          <w:lang w:eastAsia="en-AU" w:bidi="ar-SA"/>
        </w:rPr>
        <w:t>health based guidance value (</w:t>
      </w:r>
      <w:r w:rsidRPr="008C0160">
        <w:rPr>
          <w:lang w:eastAsia="en-AU" w:bidi="ar-SA"/>
        </w:rPr>
        <w:t>HBGV</w:t>
      </w:r>
      <w:r w:rsidR="00507D3C">
        <w:rPr>
          <w:lang w:eastAsia="en-AU" w:bidi="ar-SA"/>
        </w:rPr>
        <w:t>)</w:t>
      </w:r>
      <w:r w:rsidRPr="008C0160">
        <w:rPr>
          <w:lang w:eastAsia="en-AU" w:bidi="ar-SA"/>
        </w:rPr>
        <w:t xml:space="preserve"> for sulphites cannot be determined until a robust long-term repeat dose study is completed.</w:t>
      </w:r>
    </w:p>
    <w:p w14:paraId="2DE5DC12" w14:textId="77777777" w:rsidR="00C929CC" w:rsidRPr="008C0160" w:rsidRDefault="00C929CC" w:rsidP="00C929CC">
      <w:pPr>
        <w:rPr>
          <w:lang w:eastAsia="en-AU" w:bidi="ar-SA"/>
        </w:rPr>
      </w:pPr>
    </w:p>
    <w:p w14:paraId="66386977" w14:textId="77777777" w:rsidR="00C929CC" w:rsidRPr="008C0160" w:rsidRDefault="00C929CC" w:rsidP="00C929CC">
      <w:pPr>
        <w:rPr>
          <w:lang w:eastAsia="en-AU" w:bidi="ar-SA"/>
        </w:rPr>
      </w:pPr>
      <w:r w:rsidRPr="008C0160">
        <w:rPr>
          <w:lang w:eastAsia="en-AU" w:bidi="ar-SA"/>
        </w:rPr>
        <w:t xml:space="preserve">There has been no new evidence on which to base a HBGV since Proposal 298 was completed. Therefore, there is no justification for undertaking further </w:t>
      </w:r>
      <w:r w:rsidR="00E24345">
        <w:rPr>
          <w:lang w:eastAsia="en-AU" w:bidi="ar-SA"/>
        </w:rPr>
        <w:t>hazard</w:t>
      </w:r>
      <w:r w:rsidRPr="008C0160">
        <w:rPr>
          <w:lang w:eastAsia="en-AU" w:bidi="ar-SA"/>
        </w:rPr>
        <w:t xml:space="preserve"> assessment of sulphites</w:t>
      </w:r>
      <w:r w:rsidR="003D0CA4" w:rsidRPr="008C0160">
        <w:rPr>
          <w:lang w:eastAsia="en-AU" w:bidi="ar-SA"/>
        </w:rPr>
        <w:t xml:space="preserve"> at the current time</w:t>
      </w:r>
      <w:r w:rsidRPr="008C0160">
        <w:rPr>
          <w:lang w:eastAsia="en-AU" w:bidi="ar-SA"/>
        </w:rPr>
        <w:t xml:space="preserve">. </w:t>
      </w:r>
    </w:p>
    <w:p w14:paraId="1D32ECA6" w14:textId="77777777" w:rsidR="00C929CC" w:rsidRPr="008C0160" w:rsidRDefault="00403E4B" w:rsidP="0017617B">
      <w:pPr>
        <w:pStyle w:val="Heading3"/>
      </w:pPr>
      <w:bookmarkStart w:id="209" w:name="_Toc466968564"/>
      <w:bookmarkStart w:id="210" w:name="_Toc472668728"/>
      <w:bookmarkStart w:id="211" w:name="_Toc476908617"/>
      <w:bookmarkStart w:id="212" w:name="_Toc478375839"/>
      <w:r>
        <w:t>3.2</w:t>
      </w:r>
      <w:r w:rsidR="00683A22" w:rsidRPr="008C0160">
        <w:tab/>
      </w:r>
      <w:r w:rsidR="00C929CC" w:rsidRPr="008C0160">
        <w:t>Assessments by other regulatory agencies</w:t>
      </w:r>
      <w:bookmarkEnd w:id="209"/>
      <w:bookmarkEnd w:id="210"/>
      <w:bookmarkEnd w:id="211"/>
      <w:bookmarkEnd w:id="212"/>
    </w:p>
    <w:p w14:paraId="45AD5DCB" w14:textId="77777777" w:rsidR="00E24345" w:rsidRDefault="00C929CC" w:rsidP="00C929CC">
      <w:pPr>
        <w:rPr>
          <w:lang w:bidi="ar-SA"/>
        </w:rPr>
      </w:pPr>
      <w:r w:rsidRPr="008C0160">
        <w:t>The current JECFA</w:t>
      </w:r>
      <w:r w:rsidR="00F20905">
        <w:t xml:space="preserve"> ADI for dietary sulphite, 0–</w:t>
      </w:r>
      <w:r w:rsidRPr="008C0160">
        <w:t>0.7 mg/kg b</w:t>
      </w:r>
      <w:r w:rsidR="001D4D40">
        <w:t>w</w:t>
      </w:r>
      <w:r w:rsidRPr="008C0160">
        <w:t xml:space="preserve">, was set in 1973 and has been reiterated at subsequent JECFA reviews. </w:t>
      </w:r>
    </w:p>
    <w:p w14:paraId="26F40525" w14:textId="77777777" w:rsidR="00E24345" w:rsidRDefault="00403E4B" w:rsidP="00403E4B">
      <w:pPr>
        <w:pStyle w:val="Heading3"/>
      </w:pPr>
      <w:bookmarkStart w:id="213" w:name="_Toc478375840"/>
      <w:r w:rsidRPr="00403E4B">
        <w:t>3.3</w:t>
      </w:r>
      <w:r w:rsidRPr="00403E4B">
        <w:tab/>
      </w:r>
      <w:r w:rsidR="00E24345" w:rsidRPr="00403E4B">
        <w:t>Hazard assessment conclusion</w:t>
      </w:r>
      <w:bookmarkEnd w:id="213"/>
    </w:p>
    <w:p w14:paraId="7A763275" w14:textId="77777777" w:rsidR="00E24345" w:rsidRDefault="00403E4B" w:rsidP="00C929CC">
      <w:pPr>
        <w:rPr>
          <w:lang w:bidi="ar-SA"/>
        </w:rPr>
      </w:pPr>
      <w:r w:rsidRPr="00403E4B">
        <w:rPr>
          <w:lang w:bidi="ar-SA"/>
        </w:rPr>
        <w:t xml:space="preserve">FSANZ </w:t>
      </w:r>
      <w:r>
        <w:rPr>
          <w:lang w:bidi="ar-SA"/>
        </w:rPr>
        <w:t xml:space="preserve">has previously </w:t>
      </w:r>
      <w:r w:rsidRPr="00403E4B">
        <w:rPr>
          <w:lang w:bidi="ar-SA"/>
        </w:rPr>
        <w:t>concluded that the</w:t>
      </w:r>
      <w:r w:rsidR="00F67FE7" w:rsidRPr="00F67FE7">
        <w:rPr>
          <w:lang w:bidi="ar-SA"/>
        </w:rPr>
        <w:t xml:space="preserve"> current conservative JECFA ADI remains appropriate</w:t>
      </w:r>
      <w:r w:rsidR="00F67FE7">
        <w:rPr>
          <w:lang w:bidi="ar-SA"/>
        </w:rPr>
        <w:t>.</w:t>
      </w:r>
    </w:p>
    <w:p w14:paraId="237AA06D" w14:textId="77777777" w:rsidR="00E24345" w:rsidRPr="008C0160" w:rsidRDefault="00E24345" w:rsidP="00C929CC">
      <w:pPr>
        <w:rPr>
          <w:lang w:bidi="ar-SA"/>
        </w:rPr>
      </w:pPr>
    </w:p>
    <w:p w14:paraId="32693B0F" w14:textId="77777777" w:rsidR="00DA09BF" w:rsidRDefault="00DA09BF" w:rsidP="00DA09BF">
      <w:pPr>
        <w:pStyle w:val="Heading2"/>
      </w:pPr>
      <w:bookmarkStart w:id="214" w:name="_Toc476908618"/>
      <w:bookmarkStart w:id="215" w:name="_Toc478375841"/>
      <w:bookmarkStart w:id="216" w:name="_Toc466968565"/>
      <w:bookmarkStart w:id="217" w:name="_Toc472668729"/>
      <w:r>
        <w:t>4</w:t>
      </w:r>
      <w:r w:rsidRPr="008C0160">
        <w:tab/>
      </w:r>
      <w:r>
        <w:t>Dietary exposure</w:t>
      </w:r>
      <w:r w:rsidRPr="008C0160">
        <w:t xml:space="preserve"> assessment</w:t>
      </w:r>
      <w:bookmarkEnd w:id="214"/>
      <w:bookmarkEnd w:id="215"/>
      <w:r w:rsidRPr="008C0160">
        <w:t xml:space="preserve"> </w:t>
      </w:r>
    </w:p>
    <w:p w14:paraId="0A0B708A" w14:textId="77777777" w:rsidR="00DA09BF" w:rsidRDefault="00DA09BF" w:rsidP="00DA09BF">
      <w:pPr>
        <w:rPr>
          <w:lang w:bidi="ar-SA"/>
        </w:rPr>
      </w:pPr>
      <w:r w:rsidRPr="00F80D4C">
        <w:rPr>
          <w:lang w:bidi="ar-SA"/>
        </w:rPr>
        <w:t xml:space="preserve">A dietary exposure assessment was not </w:t>
      </w:r>
      <w:r w:rsidR="009E5D88" w:rsidRPr="00F80D4C">
        <w:rPr>
          <w:lang w:bidi="ar-SA"/>
        </w:rPr>
        <w:t xml:space="preserve">conducted </w:t>
      </w:r>
      <w:r w:rsidR="000D1C2D">
        <w:rPr>
          <w:lang w:bidi="ar-SA"/>
        </w:rPr>
        <w:t xml:space="preserve">for this Application </w:t>
      </w:r>
      <w:r w:rsidR="009E5D88" w:rsidRPr="00F80D4C">
        <w:rPr>
          <w:lang w:bidi="ar-SA"/>
        </w:rPr>
        <w:t xml:space="preserve">because any change </w:t>
      </w:r>
      <w:r w:rsidR="009E5D88" w:rsidRPr="00F80D4C">
        <w:rPr>
          <w:lang w:bidi="ar-SA"/>
        </w:rPr>
        <w:lastRenderedPageBreak/>
        <w:t>in dietary exposure to sulphites resulting from the use of ammonium bisulphite as a wine processing aid is expected to be negligible</w:t>
      </w:r>
      <w:r w:rsidRPr="00F80D4C">
        <w:rPr>
          <w:lang w:bidi="ar-SA"/>
        </w:rPr>
        <w:t>.</w:t>
      </w:r>
      <w:r w:rsidRPr="00477DA5">
        <w:rPr>
          <w:lang w:bidi="ar-SA"/>
        </w:rPr>
        <w:t xml:space="preserve"> </w:t>
      </w:r>
    </w:p>
    <w:p w14:paraId="73E9198C" w14:textId="77777777" w:rsidR="00DA09BF" w:rsidRDefault="00DA09BF" w:rsidP="00DA09BF">
      <w:pPr>
        <w:rPr>
          <w:lang w:bidi="ar-SA"/>
        </w:rPr>
      </w:pPr>
    </w:p>
    <w:p w14:paraId="508611A2" w14:textId="77777777" w:rsidR="00DA09BF" w:rsidRDefault="00DA09BF" w:rsidP="00DA09BF">
      <w:pPr>
        <w:pStyle w:val="Heading2"/>
      </w:pPr>
      <w:bookmarkStart w:id="218" w:name="_Toc476908619"/>
      <w:bookmarkStart w:id="219" w:name="_Toc478375842"/>
      <w:r>
        <w:t>5</w:t>
      </w:r>
      <w:r w:rsidRPr="008C0160">
        <w:tab/>
      </w:r>
      <w:r>
        <w:t>Risk</w:t>
      </w:r>
      <w:r w:rsidRPr="008C0160">
        <w:t xml:space="preserve"> assessment</w:t>
      </w:r>
      <w:r>
        <w:t xml:space="preserve"> conclusion</w:t>
      </w:r>
      <w:bookmarkEnd w:id="218"/>
      <w:bookmarkEnd w:id="219"/>
    </w:p>
    <w:bookmarkEnd w:id="216"/>
    <w:bookmarkEnd w:id="217"/>
    <w:p w14:paraId="425F64C5" w14:textId="77777777" w:rsidR="00C929CC" w:rsidRPr="008C0160" w:rsidRDefault="000D1C2D" w:rsidP="00C929CC">
      <w:pPr>
        <w:rPr>
          <w:lang w:bidi="ar-SA"/>
        </w:rPr>
      </w:pPr>
      <w:r>
        <w:rPr>
          <w:lang w:bidi="ar-SA"/>
        </w:rPr>
        <w:t>The use of</w:t>
      </w:r>
      <w:r w:rsidRPr="000D1C2D">
        <w:rPr>
          <w:lang w:bidi="ar-SA"/>
        </w:rPr>
        <w:t xml:space="preserve"> ammonium bisulphite as a processing aid for the production of wine, as proposed in this Application, raises no public health and safety concerns.  </w:t>
      </w:r>
    </w:p>
    <w:p w14:paraId="60A9A923" w14:textId="77777777" w:rsidR="00CC6449" w:rsidRPr="008C0160" w:rsidRDefault="00CC6449" w:rsidP="007072AF">
      <w:pPr>
        <w:widowControl/>
        <w:rPr>
          <w:lang w:bidi="ar-SA"/>
        </w:rPr>
      </w:pPr>
    </w:p>
    <w:p w14:paraId="67CAA02B" w14:textId="77777777" w:rsidR="002E74E9" w:rsidRPr="008C0160" w:rsidRDefault="002E74E9">
      <w:pPr>
        <w:widowControl/>
        <w:rPr>
          <w:lang w:bidi="ar-SA"/>
        </w:rPr>
      </w:pPr>
      <w:r w:rsidRPr="008C0160">
        <w:rPr>
          <w:lang w:bidi="ar-SA"/>
        </w:rPr>
        <w:br w:type="page"/>
      </w:r>
    </w:p>
    <w:p w14:paraId="636F8682" w14:textId="77777777" w:rsidR="009D7703" w:rsidRPr="008C0160" w:rsidRDefault="009D7703" w:rsidP="00006B4B">
      <w:pPr>
        <w:pStyle w:val="Heading1"/>
      </w:pPr>
      <w:bookmarkStart w:id="220" w:name="_Toc472668730"/>
      <w:bookmarkStart w:id="221" w:name="_Toc476908620"/>
      <w:bookmarkStart w:id="222" w:name="_Toc478375843"/>
      <w:r w:rsidRPr="008C0160">
        <w:lastRenderedPageBreak/>
        <w:t xml:space="preserve">Part D: Silver </w:t>
      </w:r>
      <w:r w:rsidR="00683A22" w:rsidRPr="008C0160">
        <w:t>c</w:t>
      </w:r>
      <w:r w:rsidRPr="008C0160">
        <w:t>hloride</w:t>
      </w:r>
      <w:bookmarkEnd w:id="220"/>
      <w:bookmarkEnd w:id="221"/>
      <w:bookmarkEnd w:id="222"/>
    </w:p>
    <w:p w14:paraId="488810DA" w14:textId="77777777" w:rsidR="009D7703" w:rsidRPr="008C0160" w:rsidRDefault="00683A22" w:rsidP="0017617B">
      <w:pPr>
        <w:pStyle w:val="Heading2"/>
      </w:pPr>
      <w:bookmarkStart w:id="223" w:name="_Toc476908621"/>
      <w:bookmarkStart w:id="224" w:name="_Toc478375844"/>
      <w:r w:rsidRPr="008C0160">
        <w:t>1</w:t>
      </w:r>
      <w:r w:rsidRPr="008C0160">
        <w:tab/>
      </w:r>
      <w:bookmarkStart w:id="225" w:name="_Toc472668731"/>
      <w:r w:rsidR="009D7703" w:rsidRPr="008C0160">
        <w:t>Introduction</w:t>
      </w:r>
      <w:bookmarkEnd w:id="223"/>
      <w:bookmarkEnd w:id="224"/>
      <w:bookmarkEnd w:id="225"/>
    </w:p>
    <w:p w14:paraId="26FB5D0E" w14:textId="77777777" w:rsidR="00B86B6A" w:rsidRPr="008C0160" w:rsidRDefault="00683A22" w:rsidP="0017617B">
      <w:pPr>
        <w:pStyle w:val="Heading3"/>
      </w:pPr>
      <w:bookmarkStart w:id="226" w:name="_Toc467071688"/>
      <w:bookmarkStart w:id="227" w:name="_Toc472668732"/>
      <w:bookmarkStart w:id="228" w:name="_Toc476908622"/>
      <w:bookmarkStart w:id="229" w:name="_Toc478375845"/>
      <w:bookmarkEnd w:id="226"/>
      <w:r w:rsidRPr="008C0160">
        <w:t>1.1</w:t>
      </w:r>
      <w:r w:rsidRPr="008C0160">
        <w:tab/>
      </w:r>
      <w:r w:rsidR="00B86B6A" w:rsidRPr="008C0160">
        <w:t>Introduction</w:t>
      </w:r>
      <w:bookmarkEnd w:id="227"/>
      <w:bookmarkEnd w:id="228"/>
      <w:bookmarkEnd w:id="229"/>
    </w:p>
    <w:p w14:paraId="142D9E1B" w14:textId="77777777" w:rsidR="00B86B6A" w:rsidRPr="008C0160" w:rsidRDefault="00B86B6A" w:rsidP="00B86B6A">
      <w:pPr>
        <w:rPr>
          <w:lang w:eastAsia="en-AU" w:bidi="ar-SA"/>
        </w:rPr>
      </w:pPr>
      <w:r w:rsidRPr="008C0160">
        <w:rPr>
          <w:lang w:eastAsia="en-AU" w:bidi="ar-SA"/>
        </w:rPr>
        <w:t>Silver chloride (AgCl), a white crystalline solid, well known for its low solubility in water, occurs naturally as a mineral</w:t>
      </w:r>
      <w:r w:rsidR="004312EC" w:rsidRPr="008C0160">
        <w:rPr>
          <w:lang w:eastAsia="en-AU" w:bidi="ar-SA"/>
        </w:rPr>
        <w:t>,</w:t>
      </w:r>
      <w:r w:rsidRPr="008C0160">
        <w:rPr>
          <w:lang w:eastAsia="en-AU" w:bidi="ar-SA"/>
        </w:rPr>
        <w:t xml:space="preserve"> chlorargyrite</w:t>
      </w:r>
      <w:r w:rsidR="004312EC" w:rsidRPr="008C0160">
        <w:rPr>
          <w:lang w:eastAsia="en-AU" w:bidi="ar-SA"/>
        </w:rPr>
        <w:t>,</w:t>
      </w:r>
      <w:r w:rsidRPr="008C0160">
        <w:rPr>
          <w:lang w:eastAsia="en-AU" w:bidi="ar-SA"/>
        </w:rPr>
        <w:t xml:space="preserve"> or is synthesised by combining aqueous solutions of silver nitrate and sodium chloride.</w:t>
      </w:r>
    </w:p>
    <w:p w14:paraId="3517383E" w14:textId="77777777" w:rsidR="007F75F3" w:rsidRPr="008C0160" w:rsidRDefault="007F75F3" w:rsidP="00B86B6A">
      <w:pPr>
        <w:rPr>
          <w:lang w:eastAsia="en-AU" w:bidi="ar-SA"/>
        </w:rPr>
      </w:pPr>
    </w:p>
    <w:p w14:paraId="56D57279" w14:textId="77777777" w:rsidR="00B86B6A" w:rsidRPr="008C0160" w:rsidRDefault="00B86B6A" w:rsidP="00B86B6A">
      <w:pPr>
        <w:rPr>
          <w:lang w:eastAsia="en-AU" w:bidi="ar-SA"/>
        </w:rPr>
      </w:pPr>
      <w:r w:rsidRPr="008C0160">
        <w:rPr>
          <w:lang w:eastAsia="en-AU" w:bidi="ar-SA"/>
        </w:rPr>
        <w:t xml:space="preserve">It is used </w:t>
      </w:r>
      <w:r w:rsidR="003D0CA4" w:rsidRPr="008C0160">
        <w:rPr>
          <w:lang w:eastAsia="en-AU" w:bidi="ar-SA"/>
        </w:rPr>
        <w:t>in</w:t>
      </w:r>
      <w:r w:rsidRPr="008C0160">
        <w:rPr>
          <w:lang w:eastAsia="en-AU" w:bidi="ar-SA"/>
        </w:rPr>
        <w:t xml:space="preserve"> wines to remove fermentation and storage-related abnormal odours caused by reduction reactions. It is added to wine must by way of an inert carrier such as diatomaceous earth, bentonite or kaolin.</w:t>
      </w:r>
    </w:p>
    <w:p w14:paraId="55955E87" w14:textId="77777777" w:rsidR="007F75F3" w:rsidRPr="008C0160" w:rsidRDefault="007F75F3" w:rsidP="00B86B6A">
      <w:pPr>
        <w:rPr>
          <w:lang w:eastAsia="en-AU" w:bidi="ar-SA"/>
        </w:rPr>
      </w:pPr>
    </w:p>
    <w:p w14:paraId="5E584153" w14:textId="77777777" w:rsidR="00B86B6A" w:rsidRPr="008C0160" w:rsidRDefault="00B86B6A" w:rsidP="00B86B6A">
      <w:pPr>
        <w:rPr>
          <w:rFonts w:eastAsia="Calibri"/>
          <w:szCs w:val="22"/>
          <w:lang w:bidi="ar-SA"/>
        </w:rPr>
      </w:pPr>
      <w:r w:rsidRPr="008C0160">
        <w:rPr>
          <w:lang w:eastAsia="en-AU" w:bidi="ar-SA"/>
        </w:rPr>
        <w:t>The silver chloride reacts with sulphurous components, such as, hydrogen sulphide, disulphides, mercaptans</w:t>
      </w:r>
      <w:r w:rsidR="003A6EC7" w:rsidRPr="008C0160">
        <w:rPr>
          <w:lang w:eastAsia="en-AU" w:bidi="ar-SA"/>
        </w:rPr>
        <w:t xml:space="preserve"> or thioacetates</w:t>
      </w:r>
      <w:r w:rsidR="003A6EC7" w:rsidRPr="008C0160">
        <w:rPr>
          <w:rStyle w:val="FootnoteReference"/>
          <w:lang w:eastAsia="en-AU" w:bidi="ar-SA"/>
        </w:rPr>
        <w:footnoteReference w:id="4"/>
      </w:r>
      <w:r w:rsidRPr="008C0160">
        <w:rPr>
          <w:lang w:eastAsia="en-AU" w:bidi="ar-SA"/>
        </w:rPr>
        <w:t xml:space="preserve"> to form silver sulphide during the treatment</w:t>
      </w:r>
      <w:r w:rsidR="007F75F3" w:rsidRPr="008C0160">
        <w:rPr>
          <w:lang w:eastAsia="en-AU" w:bidi="ar-SA"/>
        </w:rPr>
        <w:t xml:space="preserve">. </w:t>
      </w:r>
      <w:r w:rsidR="00CF2AFE">
        <w:rPr>
          <w:lang w:eastAsia="en-AU" w:bidi="ar-SA"/>
        </w:rPr>
        <w:t>S</w:t>
      </w:r>
      <w:r w:rsidR="007F75F3" w:rsidRPr="008C0160">
        <w:rPr>
          <w:lang w:eastAsia="en-AU" w:bidi="ar-SA"/>
        </w:rPr>
        <w:t xml:space="preserve">ilver chloride forms </w:t>
      </w:r>
      <w:r w:rsidR="00CF2AFE">
        <w:rPr>
          <w:lang w:eastAsia="en-AU" w:bidi="ar-SA"/>
        </w:rPr>
        <w:t xml:space="preserve">a precipitate </w:t>
      </w:r>
      <w:r w:rsidR="007F75F3" w:rsidRPr="008C0160">
        <w:rPr>
          <w:lang w:eastAsia="en-AU" w:bidi="ar-SA"/>
        </w:rPr>
        <w:t>with unwanted components</w:t>
      </w:r>
      <w:r w:rsidRPr="008C0160">
        <w:rPr>
          <w:lang w:eastAsia="en-AU" w:bidi="ar-SA"/>
        </w:rPr>
        <w:t xml:space="preserve"> </w:t>
      </w:r>
      <w:r w:rsidR="00CF2AFE">
        <w:rPr>
          <w:lang w:eastAsia="en-AU" w:bidi="ar-SA"/>
        </w:rPr>
        <w:t xml:space="preserve">and </w:t>
      </w:r>
      <w:r w:rsidRPr="008C0160">
        <w:rPr>
          <w:lang w:eastAsia="en-AU" w:bidi="ar-SA"/>
        </w:rPr>
        <w:t>remain</w:t>
      </w:r>
      <w:r w:rsidR="007F75F3" w:rsidRPr="008C0160">
        <w:rPr>
          <w:lang w:eastAsia="en-AU" w:bidi="ar-SA"/>
        </w:rPr>
        <w:t>s</w:t>
      </w:r>
      <w:r w:rsidRPr="008C0160">
        <w:rPr>
          <w:lang w:eastAsia="en-AU" w:bidi="ar-SA"/>
        </w:rPr>
        <w:t xml:space="preserve"> adsorbed by the inert carrier and together </w:t>
      </w:r>
      <w:r w:rsidR="00CF2AFE">
        <w:rPr>
          <w:lang w:eastAsia="en-AU" w:bidi="ar-SA"/>
        </w:rPr>
        <w:t>are</w:t>
      </w:r>
      <w:r w:rsidR="00CF2AFE" w:rsidRPr="008C0160">
        <w:rPr>
          <w:lang w:eastAsia="en-AU" w:bidi="ar-SA"/>
        </w:rPr>
        <w:t xml:space="preserve"> </w:t>
      </w:r>
      <w:r w:rsidRPr="008C0160">
        <w:rPr>
          <w:lang w:eastAsia="en-AU" w:bidi="ar-SA"/>
        </w:rPr>
        <w:t xml:space="preserve">separated by filtration. The </w:t>
      </w:r>
      <w:r w:rsidR="00CF2AFE">
        <w:rPr>
          <w:lang w:eastAsia="en-AU" w:bidi="ar-SA"/>
        </w:rPr>
        <w:t>likelihood</w:t>
      </w:r>
      <w:r w:rsidR="00CF2AFE" w:rsidRPr="008C0160">
        <w:rPr>
          <w:lang w:eastAsia="en-AU" w:bidi="ar-SA"/>
        </w:rPr>
        <w:t xml:space="preserve"> </w:t>
      </w:r>
      <w:r w:rsidRPr="008C0160">
        <w:rPr>
          <w:lang w:eastAsia="en-AU" w:bidi="ar-SA"/>
        </w:rPr>
        <w:t xml:space="preserve">of residues </w:t>
      </w:r>
      <w:r w:rsidR="00CF2AFE">
        <w:rPr>
          <w:lang w:eastAsia="en-AU" w:bidi="ar-SA"/>
        </w:rPr>
        <w:t xml:space="preserve">remaining </w:t>
      </w:r>
      <w:r w:rsidRPr="008C0160">
        <w:rPr>
          <w:lang w:eastAsia="en-AU" w:bidi="ar-SA"/>
        </w:rPr>
        <w:t>in wine is very low, provided the wine is adequately filtered after treatment. Permission is being sought for addition of silver chloride as a processing aid to Standard 1.3.3 (d) Permitted decolourants, clarifying, filtration and adsorbent agents.</w:t>
      </w:r>
    </w:p>
    <w:p w14:paraId="70D934EA" w14:textId="77777777" w:rsidR="00217EBD" w:rsidRPr="008C0160" w:rsidRDefault="00683A22" w:rsidP="0017617B">
      <w:pPr>
        <w:pStyle w:val="Heading3"/>
      </w:pPr>
      <w:bookmarkStart w:id="230" w:name="_Toc472668733"/>
      <w:bookmarkStart w:id="231" w:name="_Toc476908623"/>
      <w:bookmarkStart w:id="232" w:name="_Toc478375846"/>
      <w:r w:rsidRPr="008C0160">
        <w:t>1.2</w:t>
      </w:r>
      <w:r w:rsidRPr="008C0160">
        <w:tab/>
      </w:r>
      <w:r w:rsidR="00B86B6A" w:rsidRPr="008C0160">
        <w:t>Current permissions</w:t>
      </w:r>
      <w:bookmarkEnd w:id="230"/>
      <w:bookmarkEnd w:id="231"/>
      <w:bookmarkEnd w:id="232"/>
    </w:p>
    <w:p w14:paraId="57CFE387" w14:textId="77777777" w:rsidR="00217EBD" w:rsidRPr="008C0160" w:rsidRDefault="00683A22" w:rsidP="0017617B">
      <w:pPr>
        <w:pStyle w:val="Heading4"/>
      </w:pPr>
      <w:r w:rsidRPr="008C0160">
        <w:t>1.2.1</w:t>
      </w:r>
      <w:r w:rsidRPr="008C0160">
        <w:tab/>
      </w:r>
      <w:r w:rsidR="00217EBD" w:rsidRPr="008C0160">
        <w:t>OIV resolutions and other OIV documents</w:t>
      </w:r>
    </w:p>
    <w:p w14:paraId="5D5888E2" w14:textId="77777777" w:rsidR="006A5EB3" w:rsidRPr="0017617B" w:rsidRDefault="006A5EB3" w:rsidP="006A5EB3">
      <w:pPr>
        <w:widowControl/>
        <w:tabs>
          <w:tab w:val="left" w:pos="0"/>
        </w:tabs>
        <w:contextualSpacing/>
        <w:rPr>
          <w:rFonts w:eastAsia="Calibri"/>
          <w:szCs w:val="22"/>
          <w:lang w:bidi="ar-SA"/>
        </w:rPr>
      </w:pPr>
      <w:r w:rsidRPr="0017617B">
        <w:rPr>
          <w:rFonts w:eastAsia="Calibri"/>
          <w:szCs w:val="22"/>
          <w:lang w:bidi="ar-SA"/>
        </w:rPr>
        <w:t>Resolutions:</w:t>
      </w:r>
    </w:p>
    <w:p w14:paraId="288833F3" w14:textId="77777777" w:rsidR="00683A22" w:rsidRPr="0017617B" w:rsidRDefault="00683A22" w:rsidP="006A5EB3">
      <w:pPr>
        <w:widowControl/>
        <w:tabs>
          <w:tab w:val="left" w:pos="0"/>
        </w:tabs>
        <w:contextualSpacing/>
        <w:rPr>
          <w:rFonts w:eastAsia="Calibri"/>
          <w:szCs w:val="22"/>
          <w:lang w:bidi="ar-SA"/>
        </w:rPr>
      </w:pPr>
    </w:p>
    <w:p w14:paraId="0C3DAFB2" w14:textId="77777777" w:rsidR="006A5EB3" w:rsidRPr="0017617B" w:rsidRDefault="006A5EB3" w:rsidP="00F65F2C">
      <w:pPr>
        <w:widowControl/>
        <w:numPr>
          <w:ilvl w:val="0"/>
          <w:numId w:val="10"/>
        </w:numPr>
        <w:tabs>
          <w:tab w:val="left" w:pos="1134"/>
        </w:tabs>
        <w:ind w:left="720" w:hanging="720"/>
        <w:contextualSpacing/>
        <w:rPr>
          <w:rFonts w:eastAsia="Calibri"/>
          <w:szCs w:val="22"/>
          <w:lang w:bidi="ar-SA"/>
        </w:rPr>
      </w:pPr>
      <w:r w:rsidRPr="0017617B">
        <w:rPr>
          <w:rFonts w:eastAsia="Calibri"/>
          <w:szCs w:val="22"/>
          <w:lang w:bidi="ar-SA"/>
        </w:rPr>
        <w:t>OIV/OENO 145/2009 (Treatment with silver chloride)</w:t>
      </w:r>
    </w:p>
    <w:p w14:paraId="3589FEE8" w14:textId="77777777" w:rsidR="00B86B6A" w:rsidRPr="0017617B" w:rsidRDefault="006A5EB3" w:rsidP="00F65F2C">
      <w:pPr>
        <w:widowControl/>
        <w:numPr>
          <w:ilvl w:val="0"/>
          <w:numId w:val="10"/>
        </w:numPr>
        <w:tabs>
          <w:tab w:val="left" w:pos="1134"/>
        </w:tabs>
        <w:ind w:left="720" w:hanging="720"/>
        <w:contextualSpacing/>
        <w:rPr>
          <w:rFonts w:eastAsia="Calibri"/>
          <w:szCs w:val="22"/>
          <w:lang w:bidi="ar-SA"/>
        </w:rPr>
      </w:pPr>
      <w:r w:rsidRPr="0017617B">
        <w:rPr>
          <w:rFonts w:eastAsia="Calibri"/>
          <w:szCs w:val="22"/>
          <w:lang w:bidi="ar-SA"/>
        </w:rPr>
        <w:t>OIV-OENO 505-2014 (Monograph on silver chloride)</w:t>
      </w:r>
    </w:p>
    <w:p w14:paraId="0A04C973" w14:textId="77777777" w:rsidR="00836EE9" w:rsidRPr="008C0160" w:rsidRDefault="00683A22" w:rsidP="0017617B">
      <w:pPr>
        <w:pStyle w:val="Heading4"/>
      </w:pPr>
      <w:bookmarkStart w:id="233" w:name="_Toc472668734"/>
      <w:r w:rsidRPr="008C0160">
        <w:t>1.2.2</w:t>
      </w:r>
      <w:r w:rsidRPr="008C0160">
        <w:tab/>
      </w:r>
      <w:r w:rsidR="00B86B6A" w:rsidRPr="008C0160">
        <w:t>European Union</w:t>
      </w:r>
      <w:bookmarkEnd w:id="233"/>
    </w:p>
    <w:p w14:paraId="74B0F8F8" w14:textId="77777777" w:rsidR="00217EBD" w:rsidRPr="008C0160" w:rsidRDefault="00B86B6A" w:rsidP="00836EE9">
      <w:pPr>
        <w:widowControl/>
        <w:tabs>
          <w:tab w:val="left" w:pos="993"/>
        </w:tabs>
        <w:contextualSpacing/>
        <w:rPr>
          <w:rFonts w:eastAsia="Calibri"/>
          <w:szCs w:val="22"/>
          <w:lang w:bidi="ar-SA"/>
        </w:rPr>
      </w:pPr>
      <w:r w:rsidRPr="0017617B">
        <w:rPr>
          <w:rFonts w:eastAsia="Calibri"/>
          <w:szCs w:val="22"/>
          <w:lang w:bidi="ar-SA"/>
        </w:rPr>
        <w:t xml:space="preserve">Amendment of EC Regulation 606/2009, </w:t>
      </w:r>
      <w:r w:rsidRPr="008C0160">
        <w:rPr>
          <w:rFonts w:eastAsia="Calibri"/>
          <w:szCs w:val="22"/>
          <w:lang w:bidi="ar-SA"/>
        </w:rPr>
        <w:t>permits addition</w:t>
      </w:r>
      <w:r w:rsidRPr="0017617B">
        <w:rPr>
          <w:rFonts w:eastAsia="Calibri"/>
          <w:szCs w:val="22"/>
          <w:lang w:bidi="ar-SA"/>
        </w:rPr>
        <w:t xml:space="preserve"> to musts and wines </w:t>
      </w:r>
      <w:r w:rsidRPr="008C0160">
        <w:rPr>
          <w:rFonts w:eastAsia="Calibri"/>
          <w:szCs w:val="22"/>
          <w:lang w:bidi="ar-SA"/>
        </w:rPr>
        <w:t xml:space="preserve">at a </w:t>
      </w:r>
      <w:r w:rsidR="00E23E26">
        <w:rPr>
          <w:rFonts w:eastAsia="Calibri"/>
          <w:szCs w:val="22"/>
          <w:lang w:bidi="ar-SA"/>
        </w:rPr>
        <w:t xml:space="preserve">maximum </w:t>
      </w:r>
      <w:r w:rsidRPr="008C0160">
        <w:rPr>
          <w:rFonts w:eastAsia="Calibri"/>
          <w:szCs w:val="22"/>
          <w:lang w:bidi="ar-SA"/>
        </w:rPr>
        <w:t xml:space="preserve">level of </w:t>
      </w:r>
      <w:r w:rsidR="005C21A0">
        <w:rPr>
          <w:rFonts w:eastAsia="Calibri"/>
          <w:szCs w:val="22"/>
          <w:lang w:bidi="ar-SA"/>
        </w:rPr>
        <w:t>1</w:t>
      </w:r>
      <w:r w:rsidRPr="008C0160">
        <w:rPr>
          <w:rFonts w:eastAsia="Calibri"/>
          <w:szCs w:val="22"/>
          <w:lang w:bidi="ar-SA"/>
        </w:rPr>
        <w:t xml:space="preserve">g/100L and </w:t>
      </w:r>
      <w:r w:rsidRPr="0017617B">
        <w:rPr>
          <w:rFonts w:eastAsia="Calibri"/>
          <w:szCs w:val="22"/>
          <w:lang w:bidi="ar-SA"/>
        </w:rPr>
        <w:t>under the conditions laid out in Annex 21</w:t>
      </w:r>
      <w:r w:rsidR="001F3406">
        <w:rPr>
          <w:rFonts w:eastAsia="Calibri"/>
          <w:szCs w:val="22"/>
          <w:lang w:bidi="ar-SA"/>
        </w:rPr>
        <w:t xml:space="preserve"> (OIV 2012)</w:t>
      </w:r>
      <w:r w:rsidRPr="0017617B">
        <w:rPr>
          <w:rFonts w:eastAsia="Calibri"/>
          <w:szCs w:val="22"/>
          <w:lang w:bidi="ar-SA"/>
        </w:rPr>
        <w:t>.</w:t>
      </w:r>
    </w:p>
    <w:p w14:paraId="444C4B23" w14:textId="77777777" w:rsidR="00E527AA" w:rsidRPr="008C0160" w:rsidRDefault="00683A22" w:rsidP="0017617B">
      <w:pPr>
        <w:pStyle w:val="Heading3"/>
      </w:pPr>
      <w:bookmarkStart w:id="234" w:name="_Toc476908340"/>
      <w:bookmarkStart w:id="235" w:name="_Toc476901335"/>
      <w:bookmarkStart w:id="236" w:name="_Toc476908624"/>
      <w:bookmarkStart w:id="237" w:name="_Toc478375847"/>
      <w:bookmarkEnd w:id="234"/>
      <w:bookmarkEnd w:id="235"/>
      <w:r w:rsidRPr="003F2385">
        <w:t>1.3</w:t>
      </w:r>
      <w:r w:rsidRPr="003F2385">
        <w:tab/>
      </w:r>
      <w:bookmarkStart w:id="238" w:name="_Toc472668735"/>
      <w:bookmarkStart w:id="239" w:name="_Toc467071689"/>
      <w:r w:rsidR="00E527AA" w:rsidRPr="008C0160">
        <w:t>Risk Assessment Questions</w:t>
      </w:r>
      <w:bookmarkEnd w:id="236"/>
      <w:bookmarkEnd w:id="237"/>
      <w:bookmarkEnd w:id="238"/>
    </w:p>
    <w:p w14:paraId="3DEB6019" w14:textId="77777777" w:rsidR="00AC286E" w:rsidRPr="008C0160" w:rsidRDefault="00683A22" w:rsidP="0017617B">
      <w:pPr>
        <w:pStyle w:val="Heading4"/>
      </w:pPr>
      <w:r w:rsidRPr="008C0160">
        <w:t>1.3.1</w:t>
      </w:r>
      <w:r w:rsidRPr="008C0160">
        <w:tab/>
      </w:r>
      <w:r w:rsidR="00AC286E" w:rsidRPr="008C0160">
        <w:t>Technological function</w:t>
      </w:r>
    </w:p>
    <w:p w14:paraId="09D26585" w14:textId="77777777" w:rsidR="00BC5657" w:rsidRPr="008C0160" w:rsidRDefault="00BC5657" w:rsidP="00AC286E">
      <w:pPr>
        <w:rPr>
          <w:lang w:eastAsia="en-AU" w:bidi="ar-SA"/>
        </w:rPr>
      </w:pPr>
      <w:r w:rsidRPr="008C0160">
        <w:rPr>
          <w:lang w:eastAsia="en-AU" w:bidi="ar-SA"/>
        </w:rPr>
        <w:t>Is the technological function clearly stated and does silver chloride achieve that function as a food processing aid in the quantity and form proposed?</w:t>
      </w:r>
    </w:p>
    <w:p w14:paraId="678D48E6" w14:textId="77777777" w:rsidR="00AC286E" w:rsidRPr="008C0160" w:rsidRDefault="00683A22" w:rsidP="0017617B">
      <w:pPr>
        <w:pStyle w:val="Heading4"/>
      </w:pPr>
      <w:r w:rsidRPr="008C0160">
        <w:t>1.3.2</w:t>
      </w:r>
      <w:r w:rsidRPr="008C0160">
        <w:tab/>
      </w:r>
      <w:r w:rsidR="00AC286E" w:rsidRPr="008C0160">
        <w:t>Health and safety</w:t>
      </w:r>
    </w:p>
    <w:p w14:paraId="3232987D" w14:textId="77777777" w:rsidR="00E527AA" w:rsidRPr="008C0160" w:rsidRDefault="00BC5657" w:rsidP="006073B3">
      <w:pPr>
        <w:rPr>
          <w:lang w:eastAsia="en-AU" w:bidi="ar-SA"/>
        </w:rPr>
      </w:pPr>
      <w:r w:rsidRPr="008C0160">
        <w:rPr>
          <w:lang w:eastAsia="en-AU" w:bidi="ar-SA"/>
        </w:rPr>
        <w:t>Are there any potential public health and safety concerns that may arise from the use of silver chloride as a processing aid in the manufacture of wine in Australia and New Zealand?</w:t>
      </w:r>
    </w:p>
    <w:p w14:paraId="5A10D3B1" w14:textId="77777777" w:rsidR="00B77440" w:rsidRPr="008C0160" w:rsidRDefault="00683A22" w:rsidP="0017617B">
      <w:pPr>
        <w:pStyle w:val="Heading2"/>
      </w:pPr>
      <w:bookmarkStart w:id="240" w:name="_Toc467071691"/>
      <w:bookmarkStart w:id="241" w:name="_Toc472668736"/>
      <w:bookmarkStart w:id="242" w:name="_Toc476908625"/>
      <w:bookmarkStart w:id="243" w:name="_Toc478375848"/>
      <w:bookmarkEnd w:id="239"/>
      <w:bookmarkEnd w:id="240"/>
      <w:r w:rsidRPr="008C0160">
        <w:lastRenderedPageBreak/>
        <w:t>2</w:t>
      </w:r>
      <w:r w:rsidRPr="008C0160">
        <w:tab/>
      </w:r>
      <w:r w:rsidR="009D7703" w:rsidRPr="008C0160">
        <w:t>Food technology assessment</w:t>
      </w:r>
      <w:bookmarkEnd w:id="241"/>
      <w:bookmarkEnd w:id="242"/>
      <w:bookmarkEnd w:id="243"/>
    </w:p>
    <w:p w14:paraId="529616CD" w14:textId="77777777" w:rsidR="0048197E" w:rsidRPr="008C0160" w:rsidRDefault="00683A22" w:rsidP="0017617B">
      <w:pPr>
        <w:pStyle w:val="Heading3"/>
      </w:pPr>
      <w:bookmarkStart w:id="244" w:name="_Toc472668737"/>
      <w:bookmarkStart w:id="245" w:name="_Toc476908626"/>
      <w:bookmarkStart w:id="246" w:name="_Toc478375849"/>
      <w:r w:rsidRPr="008C0160">
        <w:t>2.1</w:t>
      </w:r>
      <w:r w:rsidRPr="008C0160">
        <w:tab/>
      </w:r>
      <w:r w:rsidR="0048197E" w:rsidRPr="008C0160">
        <w:t>Technological purpose</w:t>
      </w:r>
      <w:bookmarkEnd w:id="244"/>
      <w:bookmarkEnd w:id="245"/>
      <w:bookmarkEnd w:id="246"/>
    </w:p>
    <w:p w14:paraId="62F586B8" w14:textId="77777777" w:rsidR="0048197E" w:rsidRPr="008C0160" w:rsidRDefault="0048197E" w:rsidP="00326552">
      <w:pPr>
        <w:rPr>
          <w:lang w:eastAsia="en-AU" w:bidi="ar-SA"/>
        </w:rPr>
      </w:pPr>
      <w:r w:rsidRPr="008C0160">
        <w:rPr>
          <w:lang w:eastAsia="en-AU" w:bidi="ar-SA"/>
        </w:rPr>
        <w:t>Treat</w:t>
      </w:r>
      <w:r w:rsidR="003D0CA4" w:rsidRPr="008C0160">
        <w:rPr>
          <w:lang w:eastAsia="en-AU" w:bidi="ar-SA"/>
        </w:rPr>
        <w:t>ing</w:t>
      </w:r>
      <w:r w:rsidRPr="008C0160">
        <w:rPr>
          <w:lang w:eastAsia="en-AU" w:bidi="ar-SA"/>
        </w:rPr>
        <w:t xml:space="preserve"> wines with silver chloride facilitates removal of any kind of sulphurous flavours or odours caused by components such as hydrogen sulphide, disulphides or thiols. Due to the high selectivity of silver chloride</w:t>
      </w:r>
      <w:r w:rsidR="00CF2AFE">
        <w:rPr>
          <w:lang w:eastAsia="en-AU" w:bidi="ar-SA"/>
        </w:rPr>
        <w:t>,</w:t>
      </w:r>
      <w:r w:rsidRPr="008C0160">
        <w:rPr>
          <w:lang w:eastAsia="en-AU" w:bidi="ar-SA"/>
        </w:rPr>
        <w:t xml:space="preserve"> it targets the sulphurous aromas, whilst leaving desirable aromas intact. </w:t>
      </w:r>
    </w:p>
    <w:p w14:paraId="003E2F4B" w14:textId="77777777" w:rsidR="0048197E" w:rsidRPr="008C0160" w:rsidRDefault="0048197E" w:rsidP="00326552">
      <w:pPr>
        <w:rPr>
          <w:lang w:eastAsia="en-AU" w:bidi="ar-SA"/>
        </w:rPr>
      </w:pPr>
    </w:p>
    <w:p w14:paraId="6CA8F9AE" w14:textId="77777777" w:rsidR="0048197E" w:rsidRPr="0017617B" w:rsidRDefault="009E51C1" w:rsidP="00326552">
      <w:pPr>
        <w:rPr>
          <w:rFonts w:eastAsia="Calibri"/>
          <w:szCs w:val="22"/>
          <w:lang w:bidi="ar-SA"/>
        </w:rPr>
      </w:pPr>
      <w:r w:rsidRPr="008C0160">
        <w:rPr>
          <w:lang w:eastAsia="en-AU" w:bidi="ar-SA"/>
        </w:rPr>
        <w:t>Silver chloride is applied to an inert carrier material</w:t>
      </w:r>
      <w:r w:rsidRPr="008C0160">
        <w:rPr>
          <w:rStyle w:val="FootnoteReference"/>
          <w:lang w:eastAsia="en-AU" w:bidi="ar-SA"/>
        </w:rPr>
        <w:footnoteReference w:id="5"/>
      </w:r>
      <w:r w:rsidR="003D0CA4" w:rsidRPr="008C0160">
        <w:rPr>
          <w:lang w:eastAsia="en-AU" w:bidi="ar-SA"/>
        </w:rPr>
        <w:t xml:space="preserve"> before</w:t>
      </w:r>
      <w:r w:rsidRPr="008C0160">
        <w:rPr>
          <w:lang w:eastAsia="en-AU" w:bidi="ar-SA"/>
        </w:rPr>
        <w:t xml:space="preserve"> addition to the wine. The precipitates </w:t>
      </w:r>
      <w:r w:rsidR="00CF2AFE">
        <w:rPr>
          <w:lang w:eastAsia="en-AU" w:bidi="ar-SA"/>
        </w:rPr>
        <w:t xml:space="preserve">of </w:t>
      </w:r>
      <w:r w:rsidRPr="008C0160">
        <w:rPr>
          <w:lang w:eastAsia="en-AU" w:bidi="ar-SA"/>
        </w:rPr>
        <w:t xml:space="preserve">silver chloride </w:t>
      </w:r>
      <w:r w:rsidR="00CF2AFE">
        <w:rPr>
          <w:lang w:eastAsia="en-AU" w:bidi="ar-SA"/>
        </w:rPr>
        <w:t xml:space="preserve">that </w:t>
      </w:r>
      <w:r w:rsidRPr="008C0160">
        <w:rPr>
          <w:lang w:eastAsia="en-AU" w:bidi="ar-SA"/>
        </w:rPr>
        <w:t>form with unwanted components in wines are removed via filtration or similar processes carried out a minimum of two days after application.</w:t>
      </w:r>
    </w:p>
    <w:p w14:paraId="1973AF2B" w14:textId="77777777" w:rsidR="0048197E" w:rsidRPr="008C0160" w:rsidRDefault="00683A22" w:rsidP="0017617B">
      <w:pPr>
        <w:pStyle w:val="Heading3"/>
      </w:pPr>
      <w:bookmarkStart w:id="247" w:name="_Toc472668738"/>
      <w:bookmarkStart w:id="248" w:name="_Toc476908627"/>
      <w:bookmarkStart w:id="249" w:name="_Toc478375850"/>
      <w:r w:rsidRPr="008C0160">
        <w:t>2.2</w:t>
      </w:r>
      <w:r w:rsidRPr="008C0160">
        <w:tab/>
      </w:r>
      <w:r w:rsidR="0048197E" w:rsidRPr="008C0160">
        <w:t>Technological justification</w:t>
      </w:r>
      <w:bookmarkEnd w:id="247"/>
      <w:bookmarkEnd w:id="248"/>
      <w:bookmarkEnd w:id="249"/>
    </w:p>
    <w:p w14:paraId="0613C237" w14:textId="77777777" w:rsidR="0048197E" w:rsidRPr="0017617B" w:rsidRDefault="0048197E" w:rsidP="00326552">
      <w:pPr>
        <w:rPr>
          <w:rFonts w:eastAsia="Calibri"/>
          <w:szCs w:val="22"/>
          <w:lang w:bidi="ar-SA"/>
        </w:rPr>
      </w:pPr>
      <w:r w:rsidRPr="0017617B">
        <w:rPr>
          <w:rFonts w:eastAsia="Calibri"/>
          <w:szCs w:val="22"/>
          <w:lang w:bidi="ar-SA"/>
        </w:rPr>
        <w:t xml:space="preserve">The functionality of silver chloride in removing unwanted </w:t>
      </w:r>
      <w:r w:rsidR="008C0160" w:rsidRPr="008C0160">
        <w:rPr>
          <w:rFonts w:eastAsia="Calibri"/>
          <w:szCs w:val="22"/>
          <w:lang w:bidi="ar-SA"/>
        </w:rPr>
        <w:t>odorous</w:t>
      </w:r>
      <w:r w:rsidRPr="0017617B">
        <w:rPr>
          <w:rFonts w:eastAsia="Calibri"/>
          <w:szCs w:val="22"/>
          <w:lang w:bidi="ar-SA"/>
        </w:rPr>
        <w:t xml:space="preserve"> compounds has been shown to be justified</w:t>
      </w:r>
      <w:r w:rsidR="002470D2">
        <w:rPr>
          <w:rFonts w:eastAsia="Calibri"/>
          <w:szCs w:val="22"/>
          <w:lang w:bidi="ar-SA"/>
        </w:rPr>
        <w:t xml:space="preserve"> at the recommended OIV </w:t>
      </w:r>
      <w:r w:rsidR="00CF2AFE">
        <w:rPr>
          <w:rFonts w:eastAsia="Calibri"/>
          <w:szCs w:val="22"/>
          <w:lang w:bidi="ar-SA"/>
        </w:rPr>
        <w:t xml:space="preserve">use concentration </w:t>
      </w:r>
      <w:r w:rsidR="002470D2">
        <w:rPr>
          <w:rFonts w:eastAsia="Calibri"/>
          <w:szCs w:val="22"/>
          <w:lang w:bidi="ar-SA"/>
        </w:rPr>
        <w:t xml:space="preserve">of </w:t>
      </w:r>
      <w:r w:rsidR="002470D2">
        <w:rPr>
          <w:rFonts w:eastAsia="Calibri" w:cs="Arial"/>
          <w:szCs w:val="22"/>
          <w:lang w:bidi="ar-SA"/>
        </w:rPr>
        <w:t>≤</w:t>
      </w:r>
      <w:r w:rsidR="002470D2">
        <w:rPr>
          <w:rFonts w:eastAsia="Calibri"/>
          <w:szCs w:val="22"/>
          <w:lang w:bidi="ar-SA"/>
        </w:rPr>
        <w:t xml:space="preserve"> 1g/L</w:t>
      </w:r>
      <w:r w:rsidRPr="0017617B">
        <w:rPr>
          <w:rFonts w:eastAsia="Calibri"/>
          <w:szCs w:val="22"/>
          <w:lang w:bidi="ar-SA"/>
        </w:rPr>
        <w:t xml:space="preserve">. Tables </w:t>
      </w:r>
      <w:r w:rsidR="00667ED6">
        <w:rPr>
          <w:rFonts w:eastAsia="Calibri"/>
          <w:szCs w:val="22"/>
          <w:lang w:bidi="ar-SA"/>
        </w:rPr>
        <w:t>2</w:t>
      </w:r>
      <w:r w:rsidR="00667ED6" w:rsidRPr="0017617B">
        <w:rPr>
          <w:rFonts w:eastAsia="Calibri"/>
          <w:szCs w:val="22"/>
          <w:lang w:bidi="ar-SA"/>
        </w:rPr>
        <w:t xml:space="preserve"> </w:t>
      </w:r>
      <w:r w:rsidRPr="0017617B">
        <w:rPr>
          <w:rFonts w:eastAsia="Calibri"/>
          <w:szCs w:val="22"/>
          <w:lang w:bidi="ar-SA"/>
        </w:rPr>
        <w:t xml:space="preserve">and </w:t>
      </w:r>
      <w:r w:rsidR="00667ED6">
        <w:rPr>
          <w:rFonts w:eastAsia="Calibri"/>
          <w:szCs w:val="22"/>
          <w:lang w:bidi="ar-SA"/>
        </w:rPr>
        <w:t>3</w:t>
      </w:r>
      <w:r w:rsidR="00667ED6" w:rsidRPr="0017617B">
        <w:rPr>
          <w:rFonts w:eastAsia="Calibri"/>
          <w:szCs w:val="22"/>
          <w:lang w:bidi="ar-SA"/>
        </w:rPr>
        <w:t xml:space="preserve"> </w:t>
      </w:r>
      <w:r w:rsidR="00507D3C">
        <w:rPr>
          <w:rFonts w:eastAsia="Calibri"/>
          <w:szCs w:val="22"/>
          <w:lang w:bidi="ar-SA"/>
        </w:rPr>
        <w:t>(</w:t>
      </w:r>
      <w:r w:rsidR="00507D3C">
        <w:t>Erbsloeh)</w:t>
      </w:r>
      <w:r w:rsidR="00507D3C" w:rsidRPr="00507D3C" w:rsidDel="00507D3C">
        <w:rPr>
          <w:rFonts w:eastAsia="Calibri"/>
          <w:szCs w:val="22"/>
          <w:lang w:bidi="ar-SA"/>
        </w:rPr>
        <w:t xml:space="preserve"> </w:t>
      </w:r>
      <w:r w:rsidRPr="0017617B">
        <w:rPr>
          <w:rFonts w:eastAsia="Calibri"/>
          <w:szCs w:val="22"/>
          <w:lang w:bidi="ar-SA"/>
        </w:rPr>
        <w:t xml:space="preserve">show that the use of silver chloride is technologically justified when compared to traditional </w:t>
      </w:r>
      <w:r w:rsidR="008C0160" w:rsidRPr="008C0160">
        <w:rPr>
          <w:rFonts w:eastAsia="Calibri"/>
          <w:szCs w:val="22"/>
          <w:lang w:bidi="ar-SA"/>
        </w:rPr>
        <w:t>odorous</w:t>
      </w:r>
      <w:r w:rsidRPr="0017617B">
        <w:rPr>
          <w:rFonts w:eastAsia="Calibri"/>
          <w:szCs w:val="22"/>
          <w:lang w:bidi="ar-SA"/>
        </w:rPr>
        <w:t xml:space="preserve"> compound removal by copper sulphate.</w:t>
      </w:r>
    </w:p>
    <w:p w14:paraId="3F0E774C" w14:textId="77777777" w:rsidR="0048197E" w:rsidRPr="008C0160" w:rsidRDefault="0048197E" w:rsidP="0048197E">
      <w:pPr>
        <w:widowControl/>
        <w:tabs>
          <w:tab w:val="left" w:pos="1134"/>
        </w:tabs>
        <w:ind w:left="567"/>
        <w:rPr>
          <w:rFonts w:eastAsia="Calibri"/>
          <w:szCs w:val="22"/>
          <w:lang w:bidi="ar-SA"/>
        </w:rPr>
      </w:pPr>
    </w:p>
    <w:p w14:paraId="290364BE" w14:textId="77777777" w:rsidR="0048197E" w:rsidRPr="0017617B" w:rsidRDefault="0048197E" w:rsidP="00326552">
      <w:pPr>
        <w:widowControl/>
        <w:tabs>
          <w:tab w:val="left" w:pos="1134"/>
        </w:tabs>
        <w:rPr>
          <w:rFonts w:eastAsia="Calibri"/>
          <w:b/>
          <w:szCs w:val="22"/>
          <w:lang w:bidi="ar-SA"/>
        </w:rPr>
      </w:pPr>
      <w:r w:rsidRPr="0017617B">
        <w:rPr>
          <w:rFonts w:eastAsia="Calibri"/>
          <w:b/>
          <w:szCs w:val="22"/>
          <w:lang w:bidi="ar-SA"/>
        </w:rPr>
        <w:t>Table</w:t>
      </w:r>
      <w:r w:rsidR="00CF2AFE">
        <w:rPr>
          <w:rFonts w:eastAsia="Calibri"/>
          <w:b/>
          <w:szCs w:val="22"/>
          <w:lang w:bidi="ar-SA"/>
        </w:rPr>
        <w:t xml:space="preserve"> </w:t>
      </w:r>
      <w:r w:rsidR="00667ED6">
        <w:rPr>
          <w:rFonts w:eastAsia="Calibri"/>
          <w:b/>
          <w:szCs w:val="22"/>
          <w:lang w:bidi="ar-SA"/>
        </w:rPr>
        <w:t>2</w:t>
      </w:r>
      <w:r w:rsidR="00683A22" w:rsidRPr="008C0160">
        <w:rPr>
          <w:rFonts w:eastAsia="Calibri"/>
          <w:b/>
          <w:szCs w:val="22"/>
          <w:lang w:bidi="ar-SA"/>
        </w:rPr>
        <w:t xml:space="preserve">: </w:t>
      </w:r>
      <w:r w:rsidRPr="0017617B">
        <w:rPr>
          <w:rFonts w:eastAsia="Calibri"/>
          <w:b/>
          <w:szCs w:val="22"/>
          <w:lang w:bidi="ar-SA"/>
        </w:rPr>
        <w:t xml:space="preserve"> Comparison of functionality of silver chloride and copper sulphate.</w:t>
      </w:r>
    </w:p>
    <w:p w14:paraId="023CA777" w14:textId="77777777" w:rsidR="0048197E" w:rsidRPr="008C0160" w:rsidRDefault="0048197E" w:rsidP="0048197E">
      <w:pPr>
        <w:widowControl/>
        <w:tabs>
          <w:tab w:val="left" w:pos="1134"/>
        </w:tabs>
        <w:ind w:left="567"/>
        <w:rPr>
          <w:rFonts w:eastAsia="Calibri"/>
          <w:szCs w:val="22"/>
          <w:lang w:bidi="ar-SA"/>
        </w:rPr>
      </w:pPr>
    </w:p>
    <w:tbl>
      <w:tblPr>
        <w:tblStyle w:val="TableGrid4"/>
        <w:tblW w:w="8820" w:type="dxa"/>
        <w:tblInd w:w="18" w:type="dxa"/>
        <w:tblLook w:val="04A0" w:firstRow="1" w:lastRow="0" w:firstColumn="1" w:lastColumn="0" w:noHBand="0" w:noVBand="1"/>
        <w:tblCaption w:val="Comparison of functionality of silver chloride and copper sulphate"/>
      </w:tblPr>
      <w:tblGrid>
        <w:gridCol w:w="1800"/>
        <w:gridCol w:w="2375"/>
        <w:gridCol w:w="2212"/>
        <w:gridCol w:w="2433"/>
      </w:tblGrid>
      <w:tr w:rsidR="0048197E" w:rsidRPr="008C0160" w14:paraId="02E5CF4B" w14:textId="77777777" w:rsidTr="00984383">
        <w:trPr>
          <w:trHeight w:val="336"/>
          <w:tblHeader/>
        </w:trPr>
        <w:tc>
          <w:tcPr>
            <w:tcW w:w="1800" w:type="dxa"/>
            <w:vAlign w:val="center"/>
          </w:tcPr>
          <w:p w14:paraId="6BF13CEC" w14:textId="77777777" w:rsidR="0048197E" w:rsidRPr="0017617B" w:rsidRDefault="0048197E" w:rsidP="007B0C6B">
            <w:pPr>
              <w:widowControl/>
              <w:tabs>
                <w:tab w:val="left" w:pos="1134"/>
              </w:tabs>
              <w:rPr>
                <w:b/>
                <w:sz w:val="20"/>
                <w:szCs w:val="22"/>
                <w:lang w:val="en-GB" w:bidi="ar-SA"/>
              </w:rPr>
            </w:pPr>
            <w:r w:rsidRPr="0017617B">
              <w:rPr>
                <w:b/>
                <w:sz w:val="20"/>
                <w:szCs w:val="22"/>
                <w:lang w:bidi="ar-SA"/>
              </w:rPr>
              <w:t>Processing aid</w:t>
            </w:r>
          </w:p>
        </w:tc>
        <w:tc>
          <w:tcPr>
            <w:tcW w:w="2375" w:type="dxa"/>
            <w:vAlign w:val="center"/>
          </w:tcPr>
          <w:p w14:paraId="20BB0886" w14:textId="77777777" w:rsidR="0048197E" w:rsidRPr="0017617B" w:rsidRDefault="0048197E" w:rsidP="007B0C6B">
            <w:pPr>
              <w:widowControl/>
              <w:tabs>
                <w:tab w:val="left" w:pos="1134"/>
              </w:tabs>
              <w:rPr>
                <w:b/>
                <w:sz w:val="20"/>
                <w:szCs w:val="22"/>
                <w:lang w:val="en-GB" w:bidi="ar-SA"/>
              </w:rPr>
            </w:pPr>
            <w:r w:rsidRPr="0017617B">
              <w:rPr>
                <w:b/>
                <w:sz w:val="20"/>
                <w:szCs w:val="22"/>
                <w:lang w:bidi="ar-SA"/>
              </w:rPr>
              <w:t>Solubility in Wine</w:t>
            </w:r>
          </w:p>
        </w:tc>
        <w:tc>
          <w:tcPr>
            <w:tcW w:w="2212" w:type="dxa"/>
            <w:vAlign w:val="center"/>
          </w:tcPr>
          <w:p w14:paraId="4242BE8B" w14:textId="77777777" w:rsidR="0048197E" w:rsidRPr="0017617B" w:rsidRDefault="0048197E" w:rsidP="007B0C6B">
            <w:pPr>
              <w:widowControl/>
              <w:tabs>
                <w:tab w:val="left" w:pos="1134"/>
              </w:tabs>
              <w:rPr>
                <w:b/>
                <w:sz w:val="20"/>
                <w:szCs w:val="22"/>
                <w:lang w:val="en-GB" w:bidi="ar-SA"/>
              </w:rPr>
            </w:pPr>
            <w:r w:rsidRPr="0017617B">
              <w:rPr>
                <w:b/>
                <w:sz w:val="20"/>
                <w:szCs w:val="22"/>
                <w:lang w:bidi="ar-SA"/>
              </w:rPr>
              <w:t>Functionality</w:t>
            </w:r>
          </w:p>
        </w:tc>
        <w:tc>
          <w:tcPr>
            <w:tcW w:w="2433" w:type="dxa"/>
            <w:vAlign w:val="center"/>
          </w:tcPr>
          <w:p w14:paraId="1594A760" w14:textId="77777777" w:rsidR="0048197E" w:rsidRPr="0017617B" w:rsidRDefault="0048197E" w:rsidP="007B0C6B">
            <w:pPr>
              <w:widowControl/>
              <w:tabs>
                <w:tab w:val="left" w:pos="1134"/>
              </w:tabs>
              <w:rPr>
                <w:b/>
                <w:sz w:val="20"/>
                <w:szCs w:val="22"/>
                <w:lang w:val="en-GB" w:bidi="ar-SA"/>
              </w:rPr>
            </w:pPr>
            <w:r w:rsidRPr="0017617B">
              <w:rPr>
                <w:b/>
                <w:sz w:val="20"/>
                <w:szCs w:val="22"/>
                <w:lang w:bidi="ar-SA"/>
              </w:rPr>
              <w:t>Removal from Wine</w:t>
            </w:r>
          </w:p>
        </w:tc>
      </w:tr>
      <w:tr w:rsidR="0048197E" w:rsidRPr="008C0160" w14:paraId="2EB5D504" w14:textId="77777777" w:rsidTr="006073B3">
        <w:tc>
          <w:tcPr>
            <w:tcW w:w="1800" w:type="dxa"/>
          </w:tcPr>
          <w:p w14:paraId="454E1350" w14:textId="77777777" w:rsidR="0048197E" w:rsidRPr="0017617B" w:rsidRDefault="0048197E" w:rsidP="0048197E">
            <w:pPr>
              <w:widowControl/>
              <w:tabs>
                <w:tab w:val="left" w:pos="1134"/>
              </w:tabs>
              <w:rPr>
                <w:sz w:val="20"/>
                <w:szCs w:val="22"/>
                <w:lang w:val="en-GB" w:bidi="ar-SA"/>
              </w:rPr>
            </w:pPr>
            <w:r w:rsidRPr="0017617B">
              <w:rPr>
                <w:sz w:val="20"/>
                <w:szCs w:val="22"/>
                <w:lang w:bidi="ar-SA"/>
              </w:rPr>
              <w:t>Silver Chloride</w:t>
            </w:r>
          </w:p>
          <w:p w14:paraId="5F47BE34" w14:textId="77777777" w:rsidR="0048197E" w:rsidRPr="0017617B" w:rsidRDefault="0048197E" w:rsidP="0048197E">
            <w:pPr>
              <w:widowControl/>
              <w:tabs>
                <w:tab w:val="left" w:pos="1134"/>
              </w:tabs>
              <w:rPr>
                <w:sz w:val="20"/>
                <w:szCs w:val="22"/>
                <w:lang w:val="en-GB" w:bidi="ar-SA"/>
              </w:rPr>
            </w:pPr>
          </w:p>
        </w:tc>
        <w:tc>
          <w:tcPr>
            <w:tcW w:w="2375" w:type="dxa"/>
          </w:tcPr>
          <w:p w14:paraId="5E58AF13" w14:textId="77777777" w:rsidR="0048197E" w:rsidRPr="0017617B" w:rsidRDefault="0048197E" w:rsidP="002470D2">
            <w:pPr>
              <w:widowControl/>
              <w:tabs>
                <w:tab w:val="left" w:pos="1134"/>
              </w:tabs>
              <w:rPr>
                <w:sz w:val="20"/>
                <w:szCs w:val="22"/>
                <w:lang w:val="en-GB" w:bidi="ar-SA"/>
              </w:rPr>
            </w:pPr>
            <w:r w:rsidRPr="00AB6B8B">
              <w:rPr>
                <w:sz w:val="20"/>
                <w:szCs w:val="22"/>
                <w:lang w:bidi="ar-SA"/>
              </w:rPr>
              <w:t>Hardly soluble, with good dispersion via an inert carrier.</w:t>
            </w:r>
          </w:p>
        </w:tc>
        <w:tc>
          <w:tcPr>
            <w:tcW w:w="2212" w:type="dxa"/>
          </w:tcPr>
          <w:p w14:paraId="0B41521C" w14:textId="77777777" w:rsidR="0048197E" w:rsidRPr="0017617B" w:rsidRDefault="00A31541" w:rsidP="0048197E">
            <w:pPr>
              <w:widowControl/>
              <w:tabs>
                <w:tab w:val="left" w:pos="1134"/>
              </w:tabs>
              <w:rPr>
                <w:sz w:val="20"/>
                <w:szCs w:val="22"/>
                <w:lang w:val="en-GB" w:bidi="ar-SA"/>
              </w:rPr>
            </w:pPr>
            <w:r w:rsidRPr="00AB6B8B">
              <w:rPr>
                <w:sz w:val="20"/>
                <w:szCs w:val="22"/>
                <w:lang w:bidi="ar-SA"/>
              </w:rPr>
              <w:t>E</w:t>
            </w:r>
            <w:r w:rsidR="0048197E" w:rsidRPr="00AB6B8B">
              <w:rPr>
                <w:sz w:val="20"/>
                <w:szCs w:val="22"/>
                <w:lang w:bidi="ar-SA"/>
              </w:rPr>
              <w:t>ffective against difficult-to-treat sulphur off-flavours. Carrier material also supports binding of metal complexes</w:t>
            </w:r>
          </w:p>
        </w:tc>
        <w:tc>
          <w:tcPr>
            <w:tcW w:w="2433" w:type="dxa"/>
          </w:tcPr>
          <w:p w14:paraId="63F7A65B" w14:textId="77777777" w:rsidR="0048197E" w:rsidRPr="0017617B" w:rsidRDefault="0048197E" w:rsidP="0048197E">
            <w:pPr>
              <w:widowControl/>
              <w:tabs>
                <w:tab w:val="left" w:pos="1134"/>
              </w:tabs>
              <w:rPr>
                <w:sz w:val="20"/>
                <w:szCs w:val="22"/>
                <w:lang w:val="en-GB" w:bidi="ar-SA"/>
              </w:rPr>
            </w:pPr>
            <w:r w:rsidRPr="00AB6B8B">
              <w:rPr>
                <w:sz w:val="20"/>
                <w:szCs w:val="22"/>
                <w:lang w:bidi="ar-SA"/>
              </w:rPr>
              <w:t xml:space="preserve">Complete removal of insoluble </w:t>
            </w:r>
            <w:r w:rsidR="00A31541" w:rsidRPr="00AB6B8B">
              <w:rPr>
                <w:sz w:val="20"/>
                <w:szCs w:val="22"/>
                <w:lang w:bidi="ar-SA"/>
              </w:rPr>
              <w:t xml:space="preserve">precipitates </w:t>
            </w:r>
            <w:r w:rsidRPr="00AB6B8B">
              <w:rPr>
                <w:sz w:val="20"/>
                <w:szCs w:val="22"/>
                <w:lang w:bidi="ar-SA"/>
              </w:rPr>
              <w:t>by filtration</w:t>
            </w:r>
          </w:p>
        </w:tc>
      </w:tr>
      <w:tr w:rsidR="0048197E" w:rsidRPr="008C0160" w14:paraId="18EAFC4E" w14:textId="77777777" w:rsidTr="006073B3">
        <w:trPr>
          <w:trHeight w:val="1938"/>
        </w:trPr>
        <w:tc>
          <w:tcPr>
            <w:tcW w:w="1800" w:type="dxa"/>
          </w:tcPr>
          <w:p w14:paraId="10B9B9C5" w14:textId="77777777" w:rsidR="0048197E" w:rsidRPr="0017617B" w:rsidRDefault="0048197E" w:rsidP="0048197E">
            <w:pPr>
              <w:widowControl/>
              <w:tabs>
                <w:tab w:val="left" w:pos="1134"/>
              </w:tabs>
              <w:rPr>
                <w:sz w:val="20"/>
                <w:szCs w:val="22"/>
                <w:lang w:val="en-GB" w:bidi="ar-SA"/>
              </w:rPr>
            </w:pPr>
            <w:r w:rsidRPr="0017617B">
              <w:rPr>
                <w:sz w:val="20"/>
                <w:szCs w:val="22"/>
                <w:lang w:bidi="ar-SA"/>
              </w:rPr>
              <w:t>Copper Sulphate</w:t>
            </w:r>
          </w:p>
        </w:tc>
        <w:tc>
          <w:tcPr>
            <w:tcW w:w="2375" w:type="dxa"/>
          </w:tcPr>
          <w:p w14:paraId="401880B3" w14:textId="77777777" w:rsidR="0048197E" w:rsidRPr="0017617B" w:rsidRDefault="0048197E" w:rsidP="00A31541">
            <w:pPr>
              <w:widowControl/>
              <w:tabs>
                <w:tab w:val="left" w:pos="1134"/>
              </w:tabs>
              <w:rPr>
                <w:sz w:val="20"/>
                <w:szCs w:val="22"/>
                <w:lang w:val="en-GB" w:bidi="ar-SA"/>
              </w:rPr>
            </w:pPr>
            <w:r w:rsidRPr="0017617B">
              <w:rPr>
                <w:sz w:val="20"/>
                <w:szCs w:val="22"/>
                <w:lang w:bidi="ar-SA"/>
              </w:rPr>
              <w:t xml:space="preserve">Highly soluble so needs to be added in surplus to guarantee functionality. </w:t>
            </w:r>
          </w:p>
        </w:tc>
        <w:tc>
          <w:tcPr>
            <w:tcW w:w="2212" w:type="dxa"/>
          </w:tcPr>
          <w:p w14:paraId="070E2D78" w14:textId="77777777" w:rsidR="0048197E" w:rsidRPr="0017617B" w:rsidRDefault="0048197E" w:rsidP="0048197E">
            <w:pPr>
              <w:widowControl/>
              <w:tabs>
                <w:tab w:val="left" w:pos="1134"/>
              </w:tabs>
              <w:rPr>
                <w:sz w:val="20"/>
                <w:szCs w:val="22"/>
                <w:lang w:val="en-GB" w:bidi="ar-SA"/>
              </w:rPr>
            </w:pPr>
            <w:r w:rsidRPr="0017617B">
              <w:rPr>
                <w:sz w:val="20"/>
                <w:szCs w:val="22"/>
                <w:lang w:bidi="ar-SA"/>
              </w:rPr>
              <w:t>Only effective against H</w:t>
            </w:r>
            <w:r w:rsidRPr="0017617B">
              <w:rPr>
                <w:sz w:val="20"/>
                <w:szCs w:val="22"/>
                <w:vertAlign w:val="subscript"/>
                <w:lang w:bidi="ar-SA"/>
              </w:rPr>
              <w:t>2</w:t>
            </w:r>
            <w:r w:rsidRPr="0017617B">
              <w:rPr>
                <w:sz w:val="20"/>
                <w:szCs w:val="22"/>
                <w:lang w:bidi="ar-SA"/>
              </w:rPr>
              <w:t xml:space="preserve">S (young wine stage) and easily accessible </w:t>
            </w:r>
            <w:r w:rsidR="008C0160" w:rsidRPr="008C0160">
              <w:rPr>
                <w:sz w:val="20"/>
                <w:szCs w:val="22"/>
                <w:lang w:bidi="ar-SA"/>
              </w:rPr>
              <w:t>mercaptans</w:t>
            </w:r>
            <w:r w:rsidR="00A31541" w:rsidRPr="0017617B">
              <w:rPr>
                <w:sz w:val="20"/>
                <w:szCs w:val="22"/>
                <w:lang w:bidi="ar-SA"/>
              </w:rPr>
              <w:t>.</w:t>
            </w:r>
            <w:r w:rsidRPr="0017617B">
              <w:rPr>
                <w:sz w:val="20"/>
                <w:szCs w:val="22"/>
                <w:lang w:bidi="ar-SA"/>
              </w:rPr>
              <w:t xml:space="preserve"> </w:t>
            </w:r>
            <w:r w:rsidR="00A31541" w:rsidRPr="0017617B">
              <w:rPr>
                <w:sz w:val="20"/>
                <w:szCs w:val="22"/>
                <w:lang w:bidi="ar-SA"/>
              </w:rPr>
              <w:t>The excessive use of copper can cause bitter taste in wine.</w:t>
            </w:r>
          </w:p>
        </w:tc>
        <w:tc>
          <w:tcPr>
            <w:tcW w:w="2433" w:type="dxa"/>
          </w:tcPr>
          <w:p w14:paraId="45F31149" w14:textId="77777777" w:rsidR="0048197E" w:rsidRPr="0017617B" w:rsidRDefault="0048197E" w:rsidP="0048197E">
            <w:pPr>
              <w:widowControl/>
              <w:tabs>
                <w:tab w:val="left" w:pos="1134"/>
              </w:tabs>
              <w:rPr>
                <w:sz w:val="20"/>
                <w:szCs w:val="22"/>
                <w:lang w:val="en-GB" w:bidi="ar-SA"/>
              </w:rPr>
            </w:pPr>
            <w:r w:rsidRPr="0017617B">
              <w:rPr>
                <w:sz w:val="20"/>
                <w:szCs w:val="22"/>
                <w:lang w:bidi="ar-SA"/>
              </w:rPr>
              <w:t>Removal of excessive copper (limit value 1 mg/L) can only be achieved by blue fining</w:t>
            </w:r>
          </w:p>
        </w:tc>
      </w:tr>
    </w:tbl>
    <w:p w14:paraId="09DE0D90" w14:textId="77777777" w:rsidR="00E91864" w:rsidRPr="008C0160" w:rsidRDefault="00E91864" w:rsidP="0048197E">
      <w:pPr>
        <w:widowControl/>
        <w:tabs>
          <w:tab w:val="left" w:pos="1134"/>
        </w:tabs>
        <w:ind w:left="567"/>
        <w:rPr>
          <w:rFonts w:eastAsia="Calibri"/>
          <w:szCs w:val="22"/>
          <w:lang w:bidi="ar-SA"/>
        </w:rPr>
      </w:pPr>
    </w:p>
    <w:p w14:paraId="26BAFCE5" w14:textId="77777777" w:rsidR="0048197E" w:rsidRPr="0017617B" w:rsidRDefault="0048197E" w:rsidP="00326552">
      <w:pPr>
        <w:widowControl/>
        <w:tabs>
          <w:tab w:val="left" w:pos="1134"/>
        </w:tabs>
        <w:ind w:left="90"/>
        <w:rPr>
          <w:rFonts w:eastAsia="Calibri"/>
          <w:b/>
          <w:szCs w:val="22"/>
          <w:lang w:bidi="ar-SA"/>
        </w:rPr>
      </w:pPr>
      <w:r w:rsidRPr="0017617B">
        <w:rPr>
          <w:rFonts w:eastAsia="Calibri"/>
          <w:b/>
          <w:szCs w:val="22"/>
          <w:lang w:bidi="ar-SA"/>
        </w:rPr>
        <w:t xml:space="preserve">Table </w:t>
      </w:r>
      <w:r w:rsidR="00667ED6">
        <w:rPr>
          <w:rFonts w:eastAsia="Calibri"/>
          <w:b/>
          <w:szCs w:val="22"/>
          <w:lang w:bidi="ar-SA"/>
        </w:rPr>
        <w:t>3</w:t>
      </w:r>
      <w:r w:rsidR="00683A22" w:rsidRPr="008C0160">
        <w:rPr>
          <w:rFonts w:eastAsia="Calibri"/>
          <w:b/>
          <w:szCs w:val="22"/>
          <w:lang w:bidi="ar-SA"/>
        </w:rPr>
        <w:t xml:space="preserve">: </w:t>
      </w:r>
      <w:r w:rsidRPr="0017617B">
        <w:rPr>
          <w:rFonts w:eastAsia="Calibri"/>
          <w:b/>
          <w:szCs w:val="22"/>
          <w:lang w:bidi="ar-SA"/>
        </w:rPr>
        <w:t xml:space="preserve">Effectivity in </w:t>
      </w:r>
      <w:r w:rsidR="008C0160" w:rsidRPr="008C0160">
        <w:rPr>
          <w:rFonts w:eastAsia="Calibri"/>
          <w:b/>
          <w:szCs w:val="22"/>
          <w:lang w:bidi="ar-SA"/>
        </w:rPr>
        <w:t>odorous</w:t>
      </w:r>
      <w:r w:rsidRPr="0017617B">
        <w:rPr>
          <w:rFonts w:eastAsia="Calibri"/>
          <w:b/>
          <w:szCs w:val="22"/>
          <w:lang w:bidi="ar-SA"/>
        </w:rPr>
        <w:t xml:space="preserve"> compound removal by silver chloride and copper sulphate in wine.</w:t>
      </w:r>
    </w:p>
    <w:p w14:paraId="6E849DC7" w14:textId="77777777" w:rsidR="007E45EB" w:rsidRPr="008C0160" w:rsidDel="002C5ECD" w:rsidRDefault="007E45EB" w:rsidP="0048197E">
      <w:pPr>
        <w:widowControl/>
        <w:rPr>
          <w:rFonts w:eastAsia="Calibri"/>
          <w:szCs w:val="22"/>
          <w:lang w:bidi="ar-SA"/>
        </w:rPr>
      </w:pPr>
    </w:p>
    <w:tbl>
      <w:tblPr>
        <w:tblStyle w:val="TableGrid4"/>
        <w:tblW w:w="0" w:type="auto"/>
        <w:tblLook w:val="04A0" w:firstRow="1" w:lastRow="0" w:firstColumn="1" w:lastColumn="0" w:noHBand="0" w:noVBand="1"/>
        <w:tblCaption w:val="Effectivity in odourous compound removal by silver chloride and copper sulphate in wine"/>
      </w:tblPr>
      <w:tblGrid>
        <w:gridCol w:w="2178"/>
        <w:gridCol w:w="2340"/>
        <w:gridCol w:w="2250"/>
        <w:gridCol w:w="2070"/>
      </w:tblGrid>
      <w:tr w:rsidR="0048197E" w:rsidRPr="008C0160" w14:paraId="19DFBAA4" w14:textId="77777777" w:rsidTr="00984383">
        <w:trPr>
          <w:trHeight w:val="354"/>
          <w:tblHeader/>
        </w:trPr>
        <w:tc>
          <w:tcPr>
            <w:tcW w:w="2178" w:type="dxa"/>
            <w:vMerge w:val="restart"/>
            <w:vAlign w:val="center"/>
          </w:tcPr>
          <w:p w14:paraId="70A5CB29" w14:textId="77777777" w:rsidR="0048197E" w:rsidRPr="0017617B" w:rsidRDefault="0048197E" w:rsidP="0048197E">
            <w:pPr>
              <w:widowControl/>
              <w:jc w:val="center"/>
              <w:rPr>
                <w:b/>
                <w:sz w:val="20"/>
                <w:szCs w:val="22"/>
                <w:lang w:val="en-GB" w:bidi="ar-SA"/>
              </w:rPr>
            </w:pPr>
            <w:r w:rsidRPr="0017617B">
              <w:rPr>
                <w:b/>
                <w:sz w:val="20"/>
                <w:szCs w:val="22"/>
                <w:lang w:bidi="ar-SA"/>
              </w:rPr>
              <w:t>Odour name</w:t>
            </w:r>
          </w:p>
        </w:tc>
        <w:tc>
          <w:tcPr>
            <w:tcW w:w="2340" w:type="dxa"/>
            <w:vMerge w:val="restart"/>
            <w:vAlign w:val="center"/>
          </w:tcPr>
          <w:p w14:paraId="236FC514" w14:textId="77777777" w:rsidR="0048197E" w:rsidRPr="0017617B" w:rsidRDefault="0048197E" w:rsidP="0048197E">
            <w:pPr>
              <w:widowControl/>
              <w:jc w:val="center"/>
              <w:rPr>
                <w:b/>
                <w:sz w:val="20"/>
                <w:szCs w:val="22"/>
                <w:lang w:val="en-GB" w:bidi="ar-SA"/>
              </w:rPr>
            </w:pPr>
            <w:r w:rsidRPr="0017617B">
              <w:rPr>
                <w:b/>
                <w:sz w:val="20"/>
                <w:szCs w:val="22"/>
                <w:lang w:bidi="ar-SA"/>
              </w:rPr>
              <w:t>Odour description</w:t>
            </w:r>
          </w:p>
        </w:tc>
        <w:tc>
          <w:tcPr>
            <w:tcW w:w="4320" w:type="dxa"/>
            <w:gridSpan w:val="2"/>
            <w:vAlign w:val="center"/>
          </w:tcPr>
          <w:p w14:paraId="11E85A5F" w14:textId="77777777" w:rsidR="0048197E" w:rsidRPr="0017617B" w:rsidRDefault="0048197E" w:rsidP="0048197E">
            <w:pPr>
              <w:widowControl/>
              <w:jc w:val="center"/>
              <w:rPr>
                <w:b/>
                <w:sz w:val="20"/>
                <w:szCs w:val="22"/>
                <w:lang w:val="en-GB" w:bidi="ar-SA"/>
              </w:rPr>
            </w:pPr>
            <w:r w:rsidRPr="0017617B">
              <w:rPr>
                <w:b/>
                <w:sz w:val="20"/>
                <w:szCs w:val="22"/>
                <w:lang w:bidi="ar-SA"/>
              </w:rPr>
              <w:t>Effective in removing odour?</w:t>
            </w:r>
          </w:p>
        </w:tc>
      </w:tr>
      <w:tr w:rsidR="0048197E" w:rsidRPr="008C0160" w14:paraId="6EBCB472" w14:textId="77777777" w:rsidTr="00984383">
        <w:trPr>
          <w:tblHeader/>
        </w:trPr>
        <w:tc>
          <w:tcPr>
            <w:tcW w:w="2178" w:type="dxa"/>
            <w:vMerge/>
            <w:vAlign w:val="center"/>
          </w:tcPr>
          <w:p w14:paraId="3707EE09" w14:textId="77777777" w:rsidR="0048197E" w:rsidRPr="0017617B" w:rsidRDefault="0048197E" w:rsidP="0048197E">
            <w:pPr>
              <w:widowControl/>
              <w:jc w:val="center"/>
              <w:rPr>
                <w:sz w:val="20"/>
                <w:szCs w:val="22"/>
                <w:lang w:val="en-GB" w:bidi="ar-SA"/>
              </w:rPr>
            </w:pPr>
          </w:p>
        </w:tc>
        <w:tc>
          <w:tcPr>
            <w:tcW w:w="2340" w:type="dxa"/>
            <w:vMerge/>
            <w:vAlign w:val="center"/>
          </w:tcPr>
          <w:p w14:paraId="46439B8C" w14:textId="77777777" w:rsidR="0048197E" w:rsidRPr="0017617B" w:rsidRDefault="0048197E" w:rsidP="0048197E">
            <w:pPr>
              <w:widowControl/>
              <w:jc w:val="center"/>
              <w:rPr>
                <w:sz w:val="20"/>
                <w:szCs w:val="22"/>
                <w:lang w:val="en-GB" w:bidi="ar-SA"/>
              </w:rPr>
            </w:pPr>
          </w:p>
        </w:tc>
        <w:tc>
          <w:tcPr>
            <w:tcW w:w="2250" w:type="dxa"/>
            <w:vAlign w:val="center"/>
          </w:tcPr>
          <w:p w14:paraId="2AB32041" w14:textId="77777777" w:rsidR="0048197E" w:rsidRPr="0017617B" w:rsidRDefault="0048197E" w:rsidP="0048197E">
            <w:pPr>
              <w:widowControl/>
              <w:jc w:val="center"/>
              <w:rPr>
                <w:b/>
                <w:sz w:val="20"/>
                <w:szCs w:val="22"/>
                <w:lang w:val="en-GB" w:bidi="ar-SA"/>
              </w:rPr>
            </w:pPr>
            <w:r w:rsidRPr="0017617B">
              <w:rPr>
                <w:b/>
                <w:sz w:val="20"/>
                <w:szCs w:val="22"/>
                <w:lang w:bidi="ar-SA"/>
              </w:rPr>
              <w:t>Copper sulphate</w:t>
            </w:r>
          </w:p>
        </w:tc>
        <w:tc>
          <w:tcPr>
            <w:tcW w:w="2070" w:type="dxa"/>
            <w:vAlign w:val="center"/>
          </w:tcPr>
          <w:p w14:paraId="34E921A6" w14:textId="77777777" w:rsidR="0048197E" w:rsidRPr="0017617B" w:rsidRDefault="0048197E" w:rsidP="0048197E">
            <w:pPr>
              <w:widowControl/>
              <w:jc w:val="center"/>
              <w:rPr>
                <w:b/>
                <w:sz w:val="20"/>
                <w:szCs w:val="22"/>
                <w:lang w:val="en-GB" w:bidi="ar-SA"/>
              </w:rPr>
            </w:pPr>
            <w:r w:rsidRPr="0017617B">
              <w:rPr>
                <w:b/>
                <w:sz w:val="20"/>
                <w:szCs w:val="22"/>
                <w:lang w:bidi="ar-SA"/>
              </w:rPr>
              <w:t>Silver Chloride</w:t>
            </w:r>
          </w:p>
        </w:tc>
      </w:tr>
      <w:tr w:rsidR="0048197E" w:rsidRPr="008C0160" w14:paraId="30F3A5C6" w14:textId="77777777" w:rsidTr="00B36464">
        <w:trPr>
          <w:trHeight w:val="354"/>
        </w:trPr>
        <w:tc>
          <w:tcPr>
            <w:tcW w:w="2178" w:type="dxa"/>
            <w:vAlign w:val="center"/>
          </w:tcPr>
          <w:p w14:paraId="58635CC5" w14:textId="77777777" w:rsidR="0048197E" w:rsidRPr="0017617B" w:rsidRDefault="008C0160" w:rsidP="0048197E">
            <w:pPr>
              <w:widowControl/>
              <w:jc w:val="center"/>
              <w:rPr>
                <w:sz w:val="20"/>
                <w:szCs w:val="22"/>
                <w:lang w:val="en-GB" w:bidi="ar-SA"/>
              </w:rPr>
            </w:pPr>
            <w:r w:rsidRPr="008C0160">
              <w:rPr>
                <w:sz w:val="20"/>
                <w:szCs w:val="22"/>
                <w:lang w:bidi="ar-SA"/>
              </w:rPr>
              <w:t>Sulphurous</w:t>
            </w:r>
          </w:p>
        </w:tc>
        <w:tc>
          <w:tcPr>
            <w:tcW w:w="2340" w:type="dxa"/>
            <w:vAlign w:val="center"/>
          </w:tcPr>
          <w:p w14:paraId="76EAC602" w14:textId="77777777" w:rsidR="0048197E" w:rsidRPr="0017617B" w:rsidRDefault="0048197E" w:rsidP="0048197E">
            <w:pPr>
              <w:widowControl/>
              <w:jc w:val="center"/>
              <w:rPr>
                <w:sz w:val="20"/>
                <w:szCs w:val="22"/>
                <w:lang w:val="en-GB" w:bidi="ar-SA"/>
              </w:rPr>
            </w:pPr>
            <w:r w:rsidRPr="0017617B">
              <w:rPr>
                <w:sz w:val="20"/>
                <w:szCs w:val="22"/>
                <w:lang w:bidi="ar-SA"/>
              </w:rPr>
              <w:t>Rotten egg</w:t>
            </w:r>
          </w:p>
        </w:tc>
        <w:tc>
          <w:tcPr>
            <w:tcW w:w="2250" w:type="dxa"/>
            <w:vAlign w:val="center"/>
          </w:tcPr>
          <w:p w14:paraId="27BB2FC4" w14:textId="77777777" w:rsidR="0048197E" w:rsidRPr="0017617B" w:rsidRDefault="0048197E" w:rsidP="0048197E">
            <w:pPr>
              <w:widowControl/>
              <w:jc w:val="center"/>
              <w:rPr>
                <w:sz w:val="20"/>
                <w:szCs w:val="22"/>
                <w:lang w:val="en-GB" w:bidi="ar-SA"/>
              </w:rPr>
            </w:pPr>
            <w:r w:rsidRPr="0017617B">
              <w:rPr>
                <w:sz w:val="20"/>
                <w:szCs w:val="22"/>
                <w:lang w:bidi="ar-SA"/>
              </w:rPr>
              <w:t>Yes</w:t>
            </w:r>
          </w:p>
        </w:tc>
        <w:tc>
          <w:tcPr>
            <w:tcW w:w="2070" w:type="dxa"/>
            <w:vAlign w:val="center"/>
          </w:tcPr>
          <w:p w14:paraId="5324418D" w14:textId="77777777" w:rsidR="0048197E" w:rsidRPr="0017617B" w:rsidRDefault="0048197E" w:rsidP="0048197E">
            <w:pPr>
              <w:widowControl/>
              <w:jc w:val="center"/>
              <w:rPr>
                <w:sz w:val="20"/>
                <w:szCs w:val="22"/>
                <w:lang w:val="en-GB" w:bidi="ar-SA"/>
              </w:rPr>
            </w:pPr>
            <w:r w:rsidRPr="0017617B">
              <w:rPr>
                <w:sz w:val="20"/>
                <w:szCs w:val="22"/>
                <w:lang w:bidi="ar-SA"/>
              </w:rPr>
              <w:t>Yes</w:t>
            </w:r>
          </w:p>
        </w:tc>
      </w:tr>
      <w:tr w:rsidR="0048197E" w:rsidRPr="008C0160" w14:paraId="3E854FB2" w14:textId="77777777" w:rsidTr="00B36464">
        <w:trPr>
          <w:trHeight w:val="354"/>
        </w:trPr>
        <w:tc>
          <w:tcPr>
            <w:tcW w:w="2178" w:type="dxa"/>
            <w:vAlign w:val="center"/>
          </w:tcPr>
          <w:p w14:paraId="0E2B77D2" w14:textId="77777777" w:rsidR="0048197E" w:rsidRPr="0017617B" w:rsidRDefault="0048197E" w:rsidP="0048197E">
            <w:pPr>
              <w:widowControl/>
              <w:jc w:val="center"/>
              <w:rPr>
                <w:sz w:val="20"/>
                <w:szCs w:val="22"/>
                <w:lang w:val="en-GB" w:bidi="ar-SA"/>
              </w:rPr>
            </w:pPr>
            <w:r w:rsidRPr="0017617B">
              <w:rPr>
                <w:sz w:val="20"/>
                <w:szCs w:val="22"/>
                <w:lang w:bidi="ar-SA"/>
              </w:rPr>
              <w:t>Thiole</w:t>
            </w:r>
          </w:p>
        </w:tc>
        <w:tc>
          <w:tcPr>
            <w:tcW w:w="2340" w:type="dxa"/>
            <w:vAlign w:val="center"/>
          </w:tcPr>
          <w:p w14:paraId="34A0736E" w14:textId="77777777" w:rsidR="0048197E" w:rsidRPr="0017617B" w:rsidRDefault="0048197E" w:rsidP="0048197E">
            <w:pPr>
              <w:widowControl/>
              <w:jc w:val="center"/>
              <w:rPr>
                <w:sz w:val="20"/>
                <w:szCs w:val="22"/>
                <w:lang w:val="en-GB" w:bidi="ar-SA"/>
              </w:rPr>
            </w:pPr>
            <w:r w:rsidRPr="0017617B">
              <w:rPr>
                <w:sz w:val="20"/>
                <w:szCs w:val="22"/>
                <w:lang w:bidi="ar-SA"/>
              </w:rPr>
              <w:t>Sulphur-like</w:t>
            </w:r>
          </w:p>
        </w:tc>
        <w:tc>
          <w:tcPr>
            <w:tcW w:w="2250" w:type="dxa"/>
            <w:vAlign w:val="center"/>
          </w:tcPr>
          <w:p w14:paraId="0A790906" w14:textId="77777777" w:rsidR="0048197E" w:rsidRPr="0017617B" w:rsidRDefault="0048197E" w:rsidP="0048197E">
            <w:pPr>
              <w:widowControl/>
              <w:jc w:val="center"/>
              <w:rPr>
                <w:sz w:val="20"/>
                <w:szCs w:val="22"/>
                <w:lang w:val="en-GB" w:bidi="ar-SA"/>
              </w:rPr>
            </w:pPr>
            <w:r w:rsidRPr="0017617B">
              <w:rPr>
                <w:sz w:val="20"/>
                <w:szCs w:val="22"/>
                <w:lang w:bidi="ar-SA"/>
              </w:rPr>
              <w:t>Yes</w:t>
            </w:r>
          </w:p>
        </w:tc>
        <w:tc>
          <w:tcPr>
            <w:tcW w:w="2070" w:type="dxa"/>
            <w:vAlign w:val="center"/>
          </w:tcPr>
          <w:p w14:paraId="605BD849" w14:textId="77777777" w:rsidR="0048197E" w:rsidRPr="0017617B" w:rsidRDefault="0048197E" w:rsidP="0048197E">
            <w:pPr>
              <w:widowControl/>
              <w:jc w:val="center"/>
              <w:rPr>
                <w:sz w:val="20"/>
                <w:szCs w:val="22"/>
                <w:lang w:val="en-GB" w:bidi="ar-SA"/>
              </w:rPr>
            </w:pPr>
            <w:r w:rsidRPr="0017617B">
              <w:rPr>
                <w:sz w:val="20"/>
                <w:szCs w:val="22"/>
                <w:lang w:bidi="ar-SA"/>
              </w:rPr>
              <w:t>Yes</w:t>
            </w:r>
          </w:p>
        </w:tc>
      </w:tr>
      <w:tr w:rsidR="0048197E" w:rsidRPr="008C0160" w14:paraId="69187999" w14:textId="77777777" w:rsidTr="00B36464">
        <w:trPr>
          <w:trHeight w:val="345"/>
        </w:trPr>
        <w:tc>
          <w:tcPr>
            <w:tcW w:w="2178" w:type="dxa"/>
            <w:vAlign w:val="center"/>
          </w:tcPr>
          <w:p w14:paraId="1B4F3E14" w14:textId="77777777" w:rsidR="0048197E" w:rsidRPr="0017617B" w:rsidRDefault="0048197E" w:rsidP="0048197E">
            <w:pPr>
              <w:widowControl/>
              <w:jc w:val="center"/>
              <w:rPr>
                <w:sz w:val="20"/>
                <w:szCs w:val="22"/>
                <w:lang w:val="en-GB" w:bidi="ar-SA"/>
              </w:rPr>
            </w:pPr>
            <w:r w:rsidRPr="0017617B">
              <w:rPr>
                <w:sz w:val="20"/>
                <w:szCs w:val="22"/>
                <w:lang w:bidi="ar-SA"/>
              </w:rPr>
              <w:t>Oligosulphide</w:t>
            </w:r>
          </w:p>
        </w:tc>
        <w:tc>
          <w:tcPr>
            <w:tcW w:w="2340" w:type="dxa"/>
            <w:vAlign w:val="center"/>
          </w:tcPr>
          <w:p w14:paraId="4A0D33A5" w14:textId="77777777" w:rsidR="0048197E" w:rsidRPr="0017617B" w:rsidRDefault="0048197E" w:rsidP="0048197E">
            <w:pPr>
              <w:widowControl/>
              <w:jc w:val="center"/>
              <w:rPr>
                <w:sz w:val="20"/>
                <w:szCs w:val="22"/>
                <w:lang w:val="en-GB" w:bidi="ar-SA"/>
              </w:rPr>
            </w:pPr>
            <w:r w:rsidRPr="0017617B">
              <w:rPr>
                <w:sz w:val="20"/>
                <w:szCs w:val="22"/>
                <w:lang w:bidi="ar-SA"/>
              </w:rPr>
              <w:t>Rubber/garlic</w:t>
            </w:r>
          </w:p>
        </w:tc>
        <w:tc>
          <w:tcPr>
            <w:tcW w:w="2250" w:type="dxa"/>
            <w:vAlign w:val="center"/>
          </w:tcPr>
          <w:p w14:paraId="77832B7D" w14:textId="77777777" w:rsidR="0048197E" w:rsidRPr="0017617B" w:rsidRDefault="0048197E" w:rsidP="0048197E">
            <w:pPr>
              <w:widowControl/>
              <w:jc w:val="center"/>
              <w:rPr>
                <w:sz w:val="20"/>
                <w:szCs w:val="22"/>
                <w:lang w:val="en-GB" w:bidi="ar-SA"/>
              </w:rPr>
            </w:pPr>
            <w:r w:rsidRPr="0017617B">
              <w:rPr>
                <w:sz w:val="20"/>
                <w:szCs w:val="22"/>
                <w:lang w:bidi="ar-SA"/>
              </w:rPr>
              <w:t>Yes</w:t>
            </w:r>
          </w:p>
        </w:tc>
        <w:tc>
          <w:tcPr>
            <w:tcW w:w="2070" w:type="dxa"/>
            <w:vAlign w:val="center"/>
          </w:tcPr>
          <w:p w14:paraId="7E283F7C" w14:textId="77777777" w:rsidR="0048197E" w:rsidRPr="0017617B" w:rsidRDefault="0048197E" w:rsidP="0048197E">
            <w:pPr>
              <w:widowControl/>
              <w:jc w:val="center"/>
              <w:rPr>
                <w:sz w:val="20"/>
                <w:szCs w:val="22"/>
                <w:lang w:val="en-GB" w:bidi="ar-SA"/>
              </w:rPr>
            </w:pPr>
            <w:r w:rsidRPr="0017617B">
              <w:rPr>
                <w:sz w:val="20"/>
                <w:szCs w:val="22"/>
                <w:lang w:bidi="ar-SA"/>
              </w:rPr>
              <w:t>Yes</w:t>
            </w:r>
          </w:p>
        </w:tc>
      </w:tr>
      <w:tr w:rsidR="0048197E" w:rsidRPr="008C0160" w14:paraId="3AA3D3F1" w14:textId="77777777" w:rsidTr="00B36464">
        <w:trPr>
          <w:trHeight w:val="354"/>
        </w:trPr>
        <w:tc>
          <w:tcPr>
            <w:tcW w:w="2178" w:type="dxa"/>
            <w:vAlign w:val="center"/>
          </w:tcPr>
          <w:p w14:paraId="6AFDBEAB" w14:textId="77777777" w:rsidR="0048197E" w:rsidRPr="0017617B" w:rsidRDefault="0048197E" w:rsidP="0048197E">
            <w:pPr>
              <w:widowControl/>
              <w:jc w:val="center"/>
              <w:rPr>
                <w:sz w:val="20"/>
                <w:szCs w:val="22"/>
                <w:lang w:val="en-GB" w:bidi="ar-SA"/>
              </w:rPr>
            </w:pPr>
            <w:r w:rsidRPr="0017617B">
              <w:rPr>
                <w:sz w:val="20"/>
                <w:szCs w:val="22"/>
                <w:lang w:bidi="ar-SA"/>
              </w:rPr>
              <w:t>1,1 Ethandithiole</w:t>
            </w:r>
          </w:p>
        </w:tc>
        <w:tc>
          <w:tcPr>
            <w:tcW w:w="2340" w:type="dxa"/>
            <w:vAlign w:val="center"/>
          </w:tcPr>
          <w:p w14:paraId="23888907" w14:textId="77777777" w:rsidR="0048197E" w:rsidRPr="0017617B" w:rsidRDefault="0048197E" w:rsidP="0048197E">
            <w:pPr>
              <w:widowControl/>
              <w:jc w:val="center"/>
              <w:rPr>
                <w:sz w:val="20"/>
                <w:szCs w:val="22"/>
                <w:lang w:val="en-GB" w:bidi="ar-SA"/>
              </w:rPr>
            </w:pPr>
            <w:r w:rsidRPr="0017617B">
              <w:rPr>
                <w:sz w:val="20"/>
                <w:szCs w:val="22"/>
                <w:lang w:bidi="ar-SA"/>
              </w:rPr>
              <w:t>Rubber</w:t>
            </w:r>
          </w:p>
        </w:tc>
        <w:tc>
          <w:tcPr>
            <w:tcW w:w="2250" w:type="dxa"/>
            <w:vAlign w:val="center"/>
          </w:tcPr>
          <w:p w14:paraId="47FDA264" w14:textId="77777777" w:rsidR="0048197E" w:rsidRPr="0017617B" w:rsidRDefault="0048197E" w:rsidP="0048197E">
            <w:pPr>
              <w:widowControl/>
              <w:jc w:val="center"/>
              <w:rPr>
                <w:sz w:val="20"/>
                <w:szCs w:val="22"/>
                <w:lang w:val="en-GB" w:bidi="ar-SA"/>
              </w:rPr>
            </w:pPr>
            <w:r w:rsidRPr="0017617B">
              <w:rPr>
                <w:sz w:val="20"/>
                <w:szCs w:val="22"/>
                <w:lang w:bidi="ar-SA"/>
              </w:rPr>
              <w:t>Yes/No</w:t>
            </w:r>
          </w:p>
        </w:tc>
        <w:tc>
          <w:tcPr>
            <w:tcW w:w="2070" w:type="dxa"/>
            <w:vAlign w:val="center"/>
          </w:tcPr>
          <w:p w14:paraId="684BAFCA" w14:textId="77777777" w:rsidR="0048197E" w:rsidRPr="0017617B" w:rsidRDefault="0048197E" w:rsidP="0048197E">
            <w:pPr>
              <w:widowControl/>
              <w:jc w:val="center"/>
              <w:rPr>
                <w:sz w:val="20"/>
                <w:szCs w:val="22"/>
                <w:lang w:val="en-GB" w:bidi="ar-SA"/>
              </w:rPr>
            </w:pPr>
            <w:r w:rsidRPr="0017617B">
              <w:rPr>
                <w:sz w:val="20"/>
                <w:szCs w:val="22"/>
                <w:lang w:bidi="ar-SA"/>
              </w:rPr>
              <w:t>Yes</w:t>
            </w:r>
          </w:p>
        </w:tc>
      </w:tr>
      <w:tr w:rsidR="0048197E" w:rsidRPr="008C0160" w14:paraId="3D496BAC" w14:textId="77777777" w:rsidTr="00B36464">
        <w:trPr>
          <w:trHeight w:val="345"/>
        </w:trPr>
        <w:tc>
          <w:tcPr>
            <w:tcW w:w="2178" w:type="dxa"/>
            <w:vAlign w:val="center"/>
          </w:tcPr>
          <w:p w14:paraId="3A068C2F" w14:textId="77777777" w:rsidR="0048197E" w:rsidRPr="0017617B" w:rsidRDefault="0048197E" w:rsidP="0048197E">
            <w:pPr>
              <w:widowControl/>
              <w:jc w:val="center"/>
              <w:rPr>
                <w:sz w:val="20"/>
                <w:szCs w:val="22"/>
                <w:lang w:val="en-GB" w:bidi="ar-SA"/>
              </w:rPr>
            </w:pPr>
            <w:r w:rsidRPr="0017617B">
              <w:rPr>
                <w:sz w:val="20"/>
                <w:szCs w:val="22"/>
                <w:lang w:bidi="ar-SA"/>
              </w:rPr>
              <w:t>Thioaceticester</w:t>
            </w:r>
          </w:p>
        </w:tc>
        <w:tc>
          <w:tcPr>
            <w:tcW w:w="2340" w:type="dxa"/>
            <w:vAlign w:val="center"/>
          </w:tcPr>
          <w:p w14:paraId="283CB36E" w14:textId="77777777" w:rsidR="0048197E" w:rsidRPr="0017617B" w:rsidRDefault="0048197E" w:rsidP="0048197E">
            <w:pPr>
              <w:widowControl/>
              <w:jc w:val="center"/>
              <w:rPr>
                <w:sz w:val="20"/>
                <w:szCs w:val="22"/>
                <w:lang w:val="en-GB" w:bidi="ar-SA"/>
              </w:rPr>
            </w:pPr>
            <w:r w:rsidRPr="0017617B">
              <w:rPr>
                <w:sz w:val="20"/>
                <w:szCs w:val="22"/>
                <w:lang w:bidi="ar-SA"/>
              </w:rPr>
              <w:t>Rubber/garlic</w:t>
            </w:r>
          </w:p>
        </w:tc>
        <w:tc>
          <w:tcPr>
            <w:tcW w:w="2250" w:type="dxa"/>
            <w:vAlign w:val="center"/>
          </w:tcPr>
          <w:p w14:paraId="3BBC39F5" w14:textId="77777777" w:rsidR="0048197E" w:rsidRPr="0017617B" w:rsidRDefault="0048197E" w:rsidP="0048197E">
            <w:pPr>
              <w:widowControl/>
              <w:jc w:val="center"/>
              <w:rPr>
                <w:sz w:val="20"/>
                <w:szCs w:val="22"/>
                <w:lang w:val="en-GB" w:bidi="ar-SA"/>
              </w:rPr>
            </w:pPr>
            <w:r w:rsidRPr="0017617B">
              <w:rPr>
                <w:sz w:val="20"/>
                <w:szCs w:val="22"/>
                <w:lang w:bidi="ar-SA"/>
              </w:rPr>
              <w:t>No</w:t>
            </w:r>
          </w:p>
        </w:tc>
        <w:tc>
          <w:tcPr>
            <w:tcW w:w="2070" w:type="dxa"/>
            <w:vAlign w:val="center"/>
          </w:tcPr>
          <w:p w14:paraId="3F085248" w14:textId="77777777" w:rsidR="0048197E" w:rsidRPr="0017617B" w:rsidRDefault="0048197E" w:rsidP="0048197E">
            <w:pPr>
              <w:widowControl/>
              <w:jc w:val="center"/>
              <w:rPr>
                <w:sz w:val="20"/>
                <w:szCs w:val="22"/>
                <w:lang w:val="en-GB" w:bidi="ar-SA"/>
              </w:rPr>
            </w:pPr>
            <w:r w:rsidRPr="0017617B">
              <w:rPr>
                <w:sz w:val="20"/>
                <w:szCs w:val="22"/>
                <w:lang w:bidi="ar-SA"/>
              </w:rPr>
              <w:t>Yes</w:t>
            </w:r>
          </w:p>
        </w:tc>
      </w:tr>
    </w:tbl>
    <w:p w14:paraId="44B48551" w14:textId="77777777" w:rsidR="007E45EB" w:rsidRPr="008C0160" w:rsidRDefault="00683A22" w:rsidP="0017617B">
      <w:pPr>
        <w:pStyle w:val="Heading3"/>
      </w:pPr>
      <w:bookmarkStart w:id="250" w:name="_Toc476908628"/>
      <w:bookmarkStart w:id="251" w:name="_Toc478375851"/>
      <w:r w:rsidRPr="008C0160">
        <w:lastRenderedPageBreak/>
        <w:t>2.3</w:t>
      </w:r>
      <w:r w:rsidRPr="008C0160">
        <w:tab/>
      </w:r>
      <w:r w:rsidR="007E45EB" w:rsidRPr="008C0160">
        <w:t>Chemical properties</w:t>
      </w:r>
      <w:bookmarkEnd w:id="250"/>
      <w:bookmarkEnd w:id="251"/>
    </w:p>
    <w:tbl>
      <w:tblPr>
        <w:tblStyle w:val="TableGrid4"/>
        <w:tblpPr w:leftFromText="180" w:rightFromText="180" w:vertAnchor="text" w:horzAnchor="margin" w:tblpY="221"/>
        <w:tblW w:w="9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ffectivity in odourous compound removal by silver chloride and copper sulphate in wine"/>
      </w:tblPr>
      <w:tblGrid>
        <w:gridCol w:w="2905"/>
        <w:gridCol w:w="6213"/>
      </w:tblGrid>
      <w:tr w:rsidR="00667ED6" w:rsidRPr="008C0160" w14:paraId="0E6EA072" w14:textId="77777777" w:rsidTr="00667ED6">
        <w:trPr>
          <w:trHeight w:val="557"/>
          <w:tblHeader/>
        </w:trPr>
        <w:tc>
          <w:tcPr>
            <w:tcW w:w="2905" w:type="dxa"/>
          </w:tcPr>
          <w:p w14:paraId="5C6B5A7A" w14:textId="77777777" w:rsidR="00667ED6" w:rsidRPr="0017617B" w:rsidRDefault="00667ED6" w:rsidP="00667ED6">
            <w:pPr>
              <w:keepNext/>
              <w:widowControl/>
              <w:spacing w:before="240" w:after="240"/>
              <w:ind w:left="851" w:hanging="851"/>
              <w:outlineLvl w:val="3"/>
              <w:rPr>
                <w:bCs/>
                <w:i/>
                <w:iCs/>
                <w:szCs w:val="22"/>
                <w:lang w:val="en-GB" w:bidi="ar-SA"/>
              </w:rPr>
            </w:pPr>
            <w:r w:rsidRPr="008C0160">
              <w:rPr>
                <w:bCs/>
                <w:i/>
                <w:iCs/>
                <w:szCs w:val="22"/>
                <w:lang w:bidi="ar-SA"/>
              </w:rPr>
              <w:t>Description</w:t>
            </w:r>
          </w:p>
        </w:tc>
        <w:tc>
          <w:tcPr>
            <w:tcW w:w="6213" w:type="dxa"/>
          </w:tcPr>
          <w:p w14:paraId="1D7AE34C" w14:textId="77777777" w:rsidR="00667ED6" w:rsidRPr="0017617B" w:rsidRDefault="00667ED6" w:rsidP="00667ED6">
            <w:pPr>
              <w:keepNext/>
              <w:widowControl/>
              <w:spacing w:before="240" w:after="240"/>
              <w:outlineLvl w:val="3"/>
              <w:rPr>
                <w:bCs/>
                <w:iCs/>
                <w:szCs w:val="22"/>
                <w:lang w:val="en-GB" w:bidi="ar-SA"/>
              </w:rPr>
            </w:pPr>
            <w:r w:rsidRPr="00AB6B8B">
              <w:rPr>
                <w:szCs w:val="22"/>
                <w:lang w:bidi="ar-SA"/>
              </w:rPr>
              <w:t>A naturally occurring crystalline solid which upon heating converts to silver (and chlorine), which is signalled by greyish or purplish coloration to some samples.</w:t>
            </w:r>
          </w:p>
        </w:tc>
      </w:tr>
      <w:tr w:rsidR="00667ED6" w:rsidRPr="008C0160" w14:paraId="4981F3B5" w14:textId="77777777" w:rsidTr="00667ED6">
        <w:trPr>
          <w:trHeight w:val="329"/>
        </w:trPr>
        <w:tc>
          <w:tcPr>
            <w:tcW w:w="2905" w:type="dxa"/>
          </w:tcPr>
          <w:p w14:paraId="450DF3FB" w14:textId="77777777" w:rsidR="00667ED6" w:rsidRPr="0017617B" w:rsidRDefault="00667ED6" w:rsidP="00667ED6">
            <w:pPr>
              <w:keepNext/>
              <w:widowControl/>
              <w:spacing w:before="240" w:after="240"/>
              <w:ind w:left="851" w:hanging="851"/>
              <w:outlineLvl w:val="3"/>
              <w:rPr>
                <w:bCs/>
                <w:i/>
                <w:iCs/>
                <w:szCs w:val="22"/>
                <w:lang w:val="en-GB" w:bidi="ar-SA"/>
              </w:rPr>
            </w:pPr>
            <w:r w:rsidRPr="008C0160">
              <w:rPr>
                <w:bCs/>
                <w:i/>
                <w:iCs/>
                <w:szCs w:val="22"/>
                <w:lang w:bidi="ar-SA"/>
              </w:rPr>
              <w:t>Chemical name:</w:t>
            </w:r>
          </w:p>
        </w:tc>
        <w:tc>
          <w:tcPr>
            <w:tcW w:w="6213" w:type="dxa"/>
          </w:tcPr>
          <w:p w14:paraId="4355B15C" w14:textId="77777777" w:rsidR="00667ED6" w:rsidRPr="0017617B" w:rsidRDefault="00667ED6" w:rsidP="00667ED6">
            <w:pPr>
              <w:keepNext/>
              <w:widowControl/>
              <w:spacing w:before="240" w:after="240"/>
              <w:outlineLvl w:val="3"/>
              <w:rPr>
                <w:bCs/>
                <w:iCs/>
                <w:szCs w:val="22"/>
                <w:lang w:val="en-GB" w:bidi="ar-SA"/>
              </w:rPr>
            </w:pPr>
            <w:r w:rsidRPr="008C0160">
              <w:rPr>
                <w:bCs/>
                <w:iCs/>
                <w:szCs w:val="22"/>
                <w:lang w:bidi="ar-SA"/>
              </w:rPr>
              <w:t>Silver Chloride</w:t>
            </w:r>
          </w:p>
        </w:tc>
      </w:tr>
      <w:tr w:rsidR="00667ED6" w:rsidRPr="008C0160" w14:paraId="0C5AAE3D" w14:textId="77777777" w:rsidTr="00667ED6">
        <w:trPr>
          <w:trHeight w:val="270"/>
        </w:trPr>
        <w:tc>
          <w:tcPr>
            <w:tcW w:w="2905" w:type="dxa"/>
          </w:tcPr>
          <w:p w14:paraId="196F4611" w14:textId="77777777" w:rsidR="00667ED6" w:rsidRPr="0017617B" w:rsidRDefault="00667ED6" w:rsidP="00667ED6">
            <w:pPr>
              <w:keepNext/>
              <w:widowControl/>
              <w:spacing w:before="240" w:after="240"/>
              <w:outlineLvl w:val="3"/>
              <w:rPr>
                <w:bCs/>
                <w:i/>
                <w:iCs/>
                <w:szCs w:val="22"/>
                <w:lang w:val="en-GB" w:bidi="ar-SA"/>
              </w:rPr>
            </w:pPr>
            <w:r w:rsidRPr="008C0160">
              <w:rPr>
                <w:bCs/>
                <w:i/>
                <w:iCs/>
                <w:szCs w:val="22"/>
                <w:lang w:bidi="ar-SA"/>
              </w:rPr>
              <w:t>Common names:</w:t>
            </w:r>
          </w:p>
        </w:tc>
        <w:tc>
          <w:tcPr>
            <w:tcW w:w="6213" w:type="dxa"/>
          </w:tcPr>
          <w:p w14:paraId="5CDFAF73" w14:textId="77777777" w:rsidR="00667ED6" w:rsidRPr="0017617B" w:rsidRDefault="00667ED6" w:rsidP="00667ED6">
            <w:pPr>
              <w:keepNext/>
              <w:widowControl/>
              <w:spacing w:before="240" w:after="240"/>
              <w:outlineLvl w:val="3"/>
              <w:rPr>
                <w:bCs/>
                <w:iCs/>
                <w:szCs w:val="22"/>
                <w:lang w:val="en-GB" w:bidi="ar-SA"/>
              </w:rPr>
            </w:pPr>
            <w:r w:rsidRPr="008C0160">
              <w:rPr>
                <w:bCs/>
                <w:iCs/>
                <w:szCs w:val="22"/>
                <w:lang w:bidi="ar-SA"/>
              </w:rPr>
              <w:t xml:space="preserve">Silver monochloride </w:t>
            </w:r>
          </w:p>
        </w:tc>
      </w:tr>
      <w:tr w:rsidR="00667ED6" w:rsidRPr="008C0160" w14:paraId="414375E5" w14:textId="77777777" w:rsidTr="00667ED6">
        <w:trPr>
          <w:trHeight w:val="329"/>
        </w:trPr>
        <w:tc>
          <w:tcPr>
            <w:tcW w:w="2905" w:type="dxa"/>
          </w:tcPr>
          <w:p w14:paraId="0DDB1D60" w14:textId="77777777" w:rsidR="00667ED6" w:rsidRPr="0017617B" w:rsidRDefault="00667ED6" w:rsidP="00667ED6">
            <w:pPr>
              <w:keepNext/>
              <w:widowControl/>
              <w:spacing w:before="240" w:after="240"/>
              <w:outlineLvl w:val="3"/>
              <w:rPr>
                <w:bCs/>
                <w:i/>
                <w:iCs/>
                <w:szCs w:val="22"/>
                <w:lang w:val="en-GB" w:bidi="ar-SA"/>
              </w:rPr>
            </w:pPr>
            <w:r w:rsidRPr="008C0160">
              <w:rPr>
                <w:bCs/>
                <w:i/>
                <w:iCs/>
                <w:szCs w:val="22"/>
                <w:lang w:bidi="ar-SA"/>
              </w:rPr>
              <w:t>CAS registry number:</w:t>
            </w:r>
          </w:p>
        </w:tc>
        <w:tc>
          <w:tcPr>
            <w:tcW w:w="6213" w:type="dxa"/>
          </w:tcPr>
          <w:p w14:paraId="2A029CBB" w14:textId="77777777" w:rsidR="00667ED6" w:rsidRPr="0017617B" w:rsidRDefault="00667ED6" w:rsidP="00667ED6">
            <w:pPr>
              <w:keepNext/>
              <w:widowControl/>
              <w:spacing w:before="240" w:after="240"/>
              <w:outlineLvl w:val="3"/>
              <w:rPr>
                <w:bCs/>
                <w:iCs/>
                <w:szCs w:val="22"/>
                <w:lang w:val="en-GB" w:bidi="ar-SA"/>
              </w:rPr>
            </w:pPr>
            <w:r w:rsidRPr="00AB6B8B">
              <w:rPr>
                <w:szCs w:val="22"/>
                <w:lang w:bidi="ar-SA"/>
              </w:rPr>
              <w:t>7783-90-6</w:t>
            </w:r>
          </w:p>
        </w:tc>
      </w:tr>
      <w:tr w:rsidR="00667ED6" w:rsidRPr="008C0160" w14:paraId="1AD82B43" w14:textId="77777777" w:rsidTr="00667ED6">
        <w:trPr>
          <w:trHeight w:val="322"/>
        </w:trPr>
        <w:tc>
          <w:tcPr>
            <w:tcW w:w="2905" w:type="dxa"/>
          </w:tcPr>
          <w:p w14:paraId="540EA25D" w14:textId="77777777" w:rsidR="00667ED6" w:rsidRPr="0017617B" w:rsidRDefault="00667ED6" w:rsidP="00667ED6">
            <w:pPr>
              <w:keepNext/>
              <w:widowControl/>
              <w:spacing w:before="240" w:after="240"/>
              <w:outlineLvl w:val="3"/>
              <w:rPr>
                <w:bCs/>
                <w:i/>
                <w:iCs/>
                <w:szCs w:val="22"/>
                <w:lang w:val="en-GB" w:bidi="ar-SA"/>
              </w:rPr>
            </w:pPr>
            <w:r w:rsidRPr="008C0160">
              <w:rPr>
                <w:bCs/>
                <w:i/>
                <w:iCs/>
                <w:szCs w:val="22"/>
                <w:lang w:bidi="ar-SA"/>
              </w:rPr>
              <w:t>Chemical formula:</w:t>
            </w:r>
          </w:p>
        </w:tc>
        <w:tc>
          <w:tcPr>
            <w:tcW w:w="6213" w:type="dxa"/>
          </w:tcPr>
          <w:p w14:paraId="5077B143" w14:textId="77777777" w:rsidR="00667ED6" w:rsidRPr="0017617B" w:rsidRDefault="00667ED6" w:rsidP="00667ED6">
            <w:pPr>
              <w:keepNext/>
              <w:widowControl/>
              <w:spacing w:before="240" w:after="240"/>
              <w:outlineLvl w:val="3"/>
              <w:rPr>
                <w:bCs/>
                <w:iCs/>
                <w:szCs w:val="22"/>
                <w:lang w:val="en-GB" w:bidi="ar-SA"/>
              </w:rPr>
            </w:pPr>
            <w:r w:rsidRPr="008C0160">
              <w:rPr>
                <w:bCs/>
                <w:iCs/>
                <w:szCs w:val="22"/>
                <w:lang w:bidi="ar-SA"/>
              </w:rPr>
              <w:t>AgCl</w:t>
            </w:r>
          </w:p>
        </w:tc>
      </w:tr>
      <w:tr w:rsidR="00667ED6" w:rsidRPr="008C0160" w14:paraId="6F2F61A1" w14:textId="77777777" w:rsidTr="00667ED6">
        <w:trPr>
          <w:trHeight w:val="329"/>
        </w:trPr>
        <w:tc>
          <w:tcPr>
            <w:tcW w:w="2905" w:type="dxa"/>
          </w:tcPr>
          <w:p w14:paraId="72006D99" w14:textId="77777777" w:rsidR="00667ED6" w:rsidRPr="0017617B" w:rsidRDefault="00667ED6" w:rsidP="00667ED6">
            <w:pPr>
              <w:keepNext/>
              <w:widowControl/>
              <w:spacing w:before="240" w:after="240"/>
              <w:outlineLvl w:val="3"/>
              <w:rPr>
                <w:bCs/>
                <w:i/>
                <w:iCs/>
                <w:szCs w:val="22"/>
                <w:lang w:val="en-GB" w:bidi="ar-SA"/>
              </w:rPr>
            </w:pPr>
            <w:r w:rsidRPr="008C0160">
              <w:rPr>
                <w:bCs/>
                <w:i/>
                <w:iCs/>
                <w:szCs w:val="22"/>
                <w:lang w:bidi="ar-SA"/>
              </w:rPr>
              <w:t>Molecular weight:</w:t>
            </w:r>
          </w:p>
        </w:tc>
        <w:tc>
          <w:tcPr>
            <w:tcW w:w="6213" w:type="dxa"/>
          </w:tcPr>
          <w:p w14:paraId="157972A2" w14:textId="77777777" w:rsidR="00667ED6" w:rsidRPr="0017617B" w:rsidRDefault="00667ED6" w:rsidP="00667ED6">
            <w:pPr>
              <w:keepNext/>
              <w:widowControl/>
              <w:spacing w:before="240" w:after="240"/>
              <w:outlineLvl w:val="3"/>
              <w:rPr>
                <w:bCs/>
                <w:iCs/>
                <w:szCs w:val="22"/>
                <w:lang w:val="en-GB" w:bidi="ar-SA"/>
              </w:rPr>
            </w:pPr>
            <w:r w:rsidRPr="008C0160">
              <w:rPr>
                <w:bCs/>
                <w:iCs/>
                <w:szCs w:val="22"/>
                <w:lang w:bidi="ar-SA"/>
              </w:rPr>
              <w:t>143.318 g/mol</w:t>
            </w:r>
          </w:p>
        </w:tc>
      </w:tr>
      <w:tr w:rsidR="00667ED6" w:rsidRPr="008C0160" w14:paraId="330249AF" w14:textId="77777777" w:rsidTr="00667ED6">
        <w:trPr>
          <w:trHeight w:val="320"/>
        </w:trPr>
        <w:tc>
          <w:tcPr>
            <w:tcW w:w="2905" w:type="dxa"/>
          </w:tcPr>
          <w:p w14:paraId="07C140D9" w14:textId="77777777" w:rsidR="00667ED6" w:rsidRPr="0017617B" w:rsidRDefault="00667ED6" w:rsidP="00667ED6">
            <w:pPr>
              <w:keepNext/>
              <w:widowControl/>
              <w:spacing w:before="240" w:after="240"/>
              <w:outlineLvl w:val="3"/>
              <w:rPr>
                <w:bCs/>
                <w:i/>
                <w:iCs/>
                <w:szCs w:val="22"/>
                <w:lang w:val="en-GB" w:bidi="ar-SA"/>
              </w:rPr>
            </w:pPr>
            <w:r w:rsidRPr="008C0160">
              <w:rPr>
                <w:bCs/>
                <w:i/>
                <w:iCs/>
                <w:szCs w:val="22"/>
                <w:lang w:bidi="ar-SA"/>
              </w:rPr>
              <w:t>Structural formula:</w:t>
            </w:r>
          </w:p>
        </w:tc>
        <w:tc>
          <w:tcPr>
            <w:tcW w:w="6213" w:type="dxa"/>
          </w:tcPr>
          <w:p w14:paraId="1BE172EA" w14:textId="77777777" w:rsidR="00667ED6" w:rsidRPr="0017617B" w:rsidRDefault="00667ED6" w:rsidP="00667ED6">
            <w:pPr>
              <w:keepNext/>
              <w:widowControl/>
              <w:spacing w:before="240" w:after="240"/>
              <w:outlineLvl w:val="3"/>
              <w:rPr>
                <w:bCs/>
                <w:iCs/>
                <w:szCs w:val="22"/>
                <w:lang w:val="en-GB" w:bidi="ar-SA"/>
              </w:rPr>
            </w:pPr>
            <w:r w:rsidRPr="00AB6B8B">
              <w:rPr>
                <w:szCs w:val="22"/>
                <w:lang w:bidi="ar-SA"/>
              </w:rPr>
              <w:t>Ag—Cl</w:t>
            </w:r>
          </w:p>
        </w:tc>
      </w:tr>
      <w:tr w:rsidR="00667ED6" w:rsidRPr="008C0160" w14:paraId="7738BE8A" w14:textId="77777777" w:rsidTr="00667ED6">
        <w:trPr>
          <w:trHeight w:val="173"/>
        </w:trPr>
        <w:tc>
          <w:tcPr>
            <w:tcW w:w="9118" w:type="dxa"/>
            <w:gridSpan w:val="2"/>
          </w:tcPr>
          <w:p w14:paraId="79D18DC5" w14:textId="77777777" w:rsidR="00667ED6" w:rsidRPr="0017617B" w:rsidRDefault="00667ED6" w:rsidP="00667ED6">
            <w:pPr>
              <w:keepNext/>
              <w:widowControl/>
              <w:spacing w:before="240" w:after="240"/>
              <w:outlineLvl w:val="3"/>
              <w:rPr>
                <w:szCs w:val="22"/>
                <w:lang w:val="en-GB" w:bidi="ar-SA"/>
              </w:rPr>
            </w:pPr>
          </w:p>
        </w:tc>
      </w:tr>
    </w:tbl>
    <w:p w14:paraId="56F2BDA0" w14:textId="77777777" w:rsidR="0048197E" w:rsidRPr="008C0160" w:rsidRDefault="00683A22" w:rsidP="0017617B">
      <w:pPr>
        <w:pStyle w:val="Heading3"/>
      </w:pPr>
      <w:bookmarkStart w:id="252" w:name="_Toc472668740"/>
      <w:bookmarkStart w:id="253" w:name="_Toc476908629"/>
      <w:bookmarkStart w:id="254" w:name="_Toc478375852"/>
      <w:r w:rsidRPr="008C0160">
        <w:t>2.4</w:t>
      </w:r>
      <w:r w:rsidRPr="008C0160">
        <w:tab/>
      </w:r>
      <w:r w:rsidR="0048197E" w:rsidRPr="008C0160">
        <w:t>Analytical method for detection</w:t>
      </w:r>
      <w:bookmarkEnd w:id="252"/>
      <w:bookmarkEnd w:id="253"/>
      <w:bookmarkEnd w:id="254"/>
    </w:p>
    <w:p w14:paraId="396188F4" w14:textId="77777777" w:rsidR="0048197E" w:rsidRPr="008C0160" w:rsidRDefault="0048197E" w:rsidP="00326552">
      <w:pPr>
        <w:rPr>
          <w:lang w:eastAsia="en-AU" w:bidi="ar-SA"/>
        </w:rPr>
      </w:pPr>
      <w:r w:rsidRPr="008C0160">
        <w:rPr>
          <w:lang w:eastAsia="en-AU" w:bidi="ar-SA"/>
        </w:rPr>
        <w:t>OIV (2014b) has developed analytical methods of detection for silver (Method OIV-MA-AS322-09 Type IV method, COMPENDIUM OF INTERNATIONAL METHODS OF ANALYSIS). Tests for silver chloride are provided in OIV (2014a).</w:t>
      </w:r>
    </w:p>
    <w:p w14:paraId="6DCFCCB5" w14:textId="77777777" w:rsidR="0048197E" w:rsidRPr="008C0160" w:rsidRDefault="00683A22" w:rsidP="0017617B">
      <w:pPr>
        <w:pStyle w:val="Heading3"/>
      </w:pPr>
      <w:bookmarkStart w:id="255" w:name="_Toc472668741"/>
      <w:bookmarkStart w:id="256" w:name="_Toc476908630"/>
      <w:bookmarkStart w:id="257" w:name="_Toc478375853"/>
      <w:r w:rsidRPr="008C0160">
        <w:t>2.5</w:t>
      </w:r>
      <w:r w:rsidRPr="008C0160">
        <w:tab/>
      </w:r>
      <w:r w:rsidR="0048197E" w:rsidRPr="008C0160">
        <w:t>Manufacturing process</w:t>
      </w:r>
      <w:bookmarkEnd w:id="255"/>
      <w:bookmarkEnd w:id="256"/>
      <w:bookmarkEnd w:id="257"/>
    </w:p>
    <w:p w14:paraId="57ED3450" w14:textId="77777777" w:rsidR="0048197E" w:rsidRPr="008C0160" w:rsidRDefault="0048197E" w:rsidP="00326552">
      <w:pPr>
        <w:rPr>
          <w:lang w:eastAsia="en-AU" w:bidi="ar-SA"/>
        </w:rPr>
      </w:pPr>
      <w:r w:rsidRPr="008C0160">
        <w:rPr>
          <w:lang w:eastAsia="en-AU" w:bidi="ar-SA"/>
        </w:rPr>
        <w:t xml:space="preserve">Silver chloride is </w:t>
      </w:r>
      <w:r w:rsidRPr="00AB6B8B">
        <w:rPr>
          <w:lang w:eastAsia="en-AU" w:bidi="ar-SA"/>
        </w:rPr>
        <w:t>synthesi</w:t>
      </w:r>
      <w:r w:rsidR="00A21748" w:rsidRPr="00AB6B8B">
        <w:rPr>
          <w:lang w:eastAsia="en-AU" w:bidi="ar-SA"/>
        </w:rPr>
        <w:t>s</w:t>
      </w:r>
      <w:r w:rsidRPr="00AB6B8B">
        <w:rPr>
          <w:lang w:eastAsia="en-AU" w:bidi="ar-SA"/>
        </w:rPr>
        <w:t>ed</w:t>
      </w:r>
      <w:r w:rsidRPr="008C0160">
        <w:rPr>
          <w:lang w:eastAsia="en-AU" w:bidi="ar-SA"/>
        </w:rPr>
        <w:t xml:space="preserve"> by combining aqueous solutions of silver nitrate and sodium chloride. </w:t>
      </w:r>
    </w:p>
    <w:p w14:paraId="41FCC4F1" w14:textId="77777777" w:rsidR="0048197E" w:rsidRPr="008C0160" w:rsidRDefault="0048197E" w:rsidP="00326552">
      <w:pPr>
        <w:rPr>
          <w:lang w:eastAsia="en-AU" w:bidi="ar-SA"/>
        </w:rPr>
      </w:pPr>
    </w:p>
    <w:p w14:paraId="191C3043" w14:textId="77777777" w:rsidR="0048197E" w:rsidRPr="008C0160" w:rsidRDefault="0048197E" w:rsidP="00326552">
      <w:pPr>
        <w:rPr>
          <w:lang w:eastAsia="en-AU" w:bidi="ar-SA"/>
        </w:rPr>
      </w:pPr>
      <w:r w:rsidRPr="008C0160">
        <w:rPr>
          <w:lang w:eastAsia="en-AU" w:bidi="ar-SA"/>
        </w:rPr>
        <w:t>AgNO</w:t>
      </w:r>
      <w:r w:rsidRPr="008C0160">
        <w:rPr>
          <w:vertAlign w:val="subscript"/>
          <w:lang w:eastAsia="en-AU" w:bidi="ar-SA"/>
        </w:rPr>
        <w:t>3</w:t>
      </w:r>
      <w:r w:rsidRPr="008C0160">
        <w:rPr>
          <w:lang w:eastAsia="en-AU" w:bidi="ar-SA"/>
        </w:rPr>
        <w:t>(aq) + NaCl(aq) → AgCl(s) + NaNO</w:t>
      </w:r>
      <w:r w:rsidRPr="008C0160">
        <w:rPr>
          <w:vertAlign w:val="subscript"/>
          <w:lang w:eastAsia="en-AU" w:bidi="ar-SA"/>
        </w:rPr>
        <w:t>3</w:t>
      </w:r>
      <w:r w:rsidRPr="008C0160">
        <w:rPr>
          <w:lang w:eastAsia="en-AU" w:bidi="ar-SA"/>
        </w:rPr>
        <w:t xml:space="preserve">(aq) </w:t>
      </w:r>
    </w:p>
    <w:p w14:paraId="69744497" w14:textId="77777777" w:rsidR="0048197E" w:rsidRPr="008C0160" w:rsidRDefault="0048197E" w:rsidP="00326552">
      <w:pPr>
        <w:rPr>
          <w:lang w:eastAsia="en-AU" w:bidi="ar-SA"/>
        </w:rPr>
      </w:pPr>
    </w:p>
    <w:p w14:paraId="2C785549" w14:textId="77777777" w:rsidR="0048197E" w:rsidRPr="008C0160" w:rsidRDefault="0048197E" w:rsidP="00501B61">
      <w:pPr>
        <w:rPr>
          <w:rFonts w:eastAsia="Calibri"/>
          <w:szCs w:val="22"/>
          <w:lang w:bidi="ar-SA"/>
        </w:rPr>
      </w:pPr>
      <w:r w:rsidRPr="008C0160">
        <w:rPr>
          <w:lang w:eastAsia="en-AU" w:bidi="ar-SA"/>
        </w:rPr>
        <w:t>Silver chloride, in its pure state, is a white solid and should have a minimum purity of 99%. Determination of the silver content is conducted according to the atomic absorption spectrophotometry (AAS) method (7.8).</w:t>
      </w:r>
    </w:p>
    <w:p w14:paraId="1F6C91BC" w14:textId="77777777" w:rsidR="0048197E" w:rsidRPr="008C0160" w:rsidRDefault="00683A22" w:rsidP="0017617B">
      <w:pPr>
        <w:pStyle w:val="Heading3"/>
      </w:pPr>
      <w:bookmarkStart w:id="258" w:name="_Toc472668742"/>
      <w:bookmarkStart w:id="259" w:name="_Toc476908631"/>
      <w:bookmarkStart w:id="260" w:name="_Toc478375854"/>
      <w:r w:rsidRPr="008C0160">
        <w:t>2.6</w:t>
      </w:r>
      <w:r w:rsidRPr="008C0160">
        <w:tab/>
      </w:r>
      <w:r w:rsidR="0048197E" w:rsidRPr="008C0160">
        <w:t>Product specification</w:t>
      </w:r>
      <w:bookmarkEnd w:id="258"/>
      <w:bookmarkEnd w:id="259"/>
      <w:bookmarkEnd w:id="260"/>
    </w:p>
    <w:p w14:paraId="231FA653" w14:textId="77777777" w:rsidR="0048197E" w:rsidRPr="008C0160" w:rsidRDefault="0048197E" w:rsidP="00326552">
      <w:pPr>
        <w:rPr>
          <w:lang w:eastAsia="en-AU" w:bidi="ar-SA"/>
        </w:rPr>
      </w:pPr>
      <w:r w:rsidRPr="008C0160">
        <w:rPr>
          <w:lang w:eastAsia="en-AU" w:bidi="ar-SA"/>
        </w:rPr>
        <w:t>Any supplier of silver chloride would need to meet the requirements set out in the meet the OIV INTERNATIONAL OENOLOGICAL CODEX S</w:t>
      </w:r>
      <w:r w:rsidR="00F91E36" w:rsidRPr="008C0160">
        <w:rPr>
          <w:lang w:eastAsia="en-AU" w:bidi="ar-SA"/>
        </w:rPr>
        <w:t>ilver</w:t>
      </w:r>
      <w:r w:rsidRPr="008C0160">
        <w:rPr>
          <w:lang w:eastAsia="en-AU" w:bidi="ar-SA"/>
        </w:rPr>
        <w:t xml:space="preserve"> </w:t>
      </w:r>
      <w:r w:rsidR="00F91E36" w:rsidRPr="008C0160">
        <w:rPr>
          <w:lang w:eastAsia="en-AU" w:bidi="ar-SA"/>
        </w:rPr>
        <w:t xml:space="preserve">Chloride </w:t>
      </w:r>
      <w:r w:rsidRPr="008C0160">
        <w:rPr>
          <w:lang w:eastAsia="en-AU" w:bidi="ar-SA"/>
        </w:rPr>
        <w:t>COEI-1-CHLARG: 2014 which is one of the secondary references for specifications in S3—3(j) of the Code.</w:t>
      </w:r>
    </w:p>
    <w:p w14:paraId="103C8D81" w14:textId="77777777" w:rsidR="0048197E" w:rsidRPr="008C0160" w:rsidRDefault="00683A22" w:rsidP="0017617B">
      <w:pPr>
        <w:pStyle w:val="Heading3"/>
      </w:pPr>
      <w:bookmarkStart w:id="261" w:name="_Toc472668743"/>
      <w:bookmarkStart w:id="262" w:name="_Toc476908632"/>
      <w:bookmarkStart w:id="263" w:name="_Toc478375855"/>
      <w:r w:rsidRPr="008C0160">
        <w:t>2.7</w:t>
      </w:r>
      <w:r w:rsidRPr="008C0160">
        <w:tab/>
      </w:r>
      <w:r w:rsidR="00891DC8" w:rsidRPr="008C0160">
        <w:t>Food technology c</w:t>
      </w:r>
      <w:r w:rsidR="0048197E" w:rsidRPr="008C0160">
        <w:t>onclusion</w:t>
      </w:r>
      <w:bookmarkEnd w:id="261"/>
      <w:bookmarkEnd w:id="262"/>
      <w:bookmarkEnd w:id="263"/>
    </w:p>
    <w:p w14:paraId="7E0D4F0C" w14:textId="77777777" w:rsidR="00B77440" w:rsidRPr="008C0160" w:rsidRDefault="0048197E" w:rsidP="00B77440">
      <w:pPr>
        <w:rPr>
          <w:lang w:bidi="ar-SA"/>
        </w:rPr>
      </w:pPr>
      <w:r w:rsidRPr="008C0160">
        <w:rPr>
          <w:lang w:eastAsia="en-AU" w:bidi="ar-SA"/>
        </w:rPr>
        <w:t>FSANZ considers silver chloride is effective in remov</w:t>
      </w:r>
      <w:r w:rsidR="003D0CA4" w:rsidRPr="008C0160">
        <w:rPr>
          <w:lang w:eastAsia="en-AU" w:bidi="ar-SA"/>
        </w:rPr>
        <w:t>ing</w:t>
      </w:r>
      <w:r w:rsidRPr="008C0160">
        <w:rPr>
          <w:lang w:eastAsia="en-AU" w:bidi="ar-SA"/>
        </w:rPr>
        <w:t xml:space="preserve"> fermentation and abnormal storage-</w:t>
      </w:r>
      <w:r w:rsidRPr="008C0160">
        <w:rPr>
          <w:lang w:eastAsia="en-AU" w:bidi="ar-SA"/>
        </w:rPr>
        <w:lastRenderedPageBreak/>
        <w:t>related odours</w:t>
      </w:r>
      <w:r w:rsidR="003D0CA4" w:rsidRPr="008C0160">
        <w:rPr>
          <w:lang w:eastAsia="en-AU" w:bidi="ar-SA"/>
        </w:rPr>
        <w:t xml:space="preserve"> in wine</w:t>
      </w:r>
      <w:r w:rsidRPr="008C0160">
        <w:rPr>
          <w:lang w:eastAsia="en-AU" w:bidi="ar-SA"/>
        </w:rPr>
        <w:t xml:space="preserve">. Evidence provided through wine industry research and development shows that silver chloride is successful in </w:t>
      </w:r>
      <w:r w:rsidR="003D0CA4" w:rsidRPr="008C0160">
        <w:rPr>
          <w:lang w:eastAsia="en-AU" w:bidi="ar-SA"/>
        </w:rPr>
        <w:t xml:space="preserve">removing </w:t>
      </w:r>
      <w:r w:rsidRPr="008C0160">
        <w:rPr>
          <w:lang w:eastAsia="en-AU" w:bidi="ar-SA"/>
        </w:rPr>
        <w:t>a wide range of fermentation and storage-related odours in wine. As silver chloride is able to be filtered from wine due to its attraction to an inert carrier, it</w:t>
      </w:r>
      <w:r w:rsidR="00E92D8F" w:rsidRPr="008C0160">
        <w:rPr>
          <w:lang w:eastAsia="en-AU" w:bidi="ar-SA"/>
        </w:rPr>
        <w:t xml:space="preserve"> </w:t>
      </w:r>
      <w:r w:rsidRPr="008C0160">
        <w:rPr>
          <w:lang w:eastAsia="en-AU" w:bidi="ar-SA"/>
        </w:rPr>
        <w:t>meets the criteria of performing a technological purpose of a processing aid i.e. it is used in the course of processing but does not</w:t>
      </w:r>
      <w:r w:rsidR="003917EA">
        <w:rPr>
          <w:lang w:eastAsia="en-AU" w:bidi="ar-SA"/>
        </w:rPr>
        <w:t xml:space="preserve"> perform a technological function</w:t>
      </w:r>
      <w:r w:rsidRPr="008C0160">
        <w:rPr>
          <w:lang w:eastAsia="en-AU" w:bidi="ar-SA"/>
        </w:rPr>
        <w:t xml:space="preserve"> in the final food.</w:t>
      </w:r>
      <w:r w:rsidR="006412C1" w:rsidRPr="008C0160">
        <w:rPr>
          <w:lang w:bidi="ar-SA"/>
        </w:rPr>
        <w:t xml:space="preserve"> </w:t>
      </w:r>
      <w:r w:rsidR="00A434A9">
        <w:rPr>
          <w:lang w:eastAsia="en-AU" w:bidi="ar-SA"/>
        </w:rPr>
        <w:t>S</w:t>
      </w:r>
      <w:r w:rsidR="00A434A9" w:rsidRPr="00A434A9">
        <w:rPr>
          <w:lang w:eastAsia="en-AU" w:bidi="ar-SA"/>
        </w:rPr>
        <w:t>ilver chloride wil</w:t>
      </w:r>
      <w:r w:rsidR="00B528BC">
        <w:rPr>
          <w:lang w:eastAsia="en-AU" w:bidi="ar-SA"/>
        </w:rPr>
        <w:t xml:space="preserve">l be permitted </w:t>
      </w:r>
      <w:r w:rsidR="005C21A0" w:rsidRPr="005C21A0">
        <w:rPr>
          <w:lang w:eastAsia="en-AU" w:bidi="ar-SA"/>
        </w:rPr>
        <w:t xml:space="preserve">for use at GMP levels, which is the lowest possible level necessary to accomplish </w:t>
      </w:r>
      <w:r w:rsidR="00A631D7">
        <w:rPr>
          <w:lang w:eastAsia="en-AU" w:bidi="ar-SA"/>
        </w:rPr>
        <w:t>the intended</w:t>
      </w:r>
      <w:r w:rsidR="005C21A0" w:rsidRPr="005C21A0">
        <w:rPr>
          <w:lang w:eastAsia="en-AU" w:bidi="ar-SA"/>
        </w:rPr>
        <w:t xml:space="preserve"> effect. </w:t>
      </w:r>
      <w:r w:rsidR="006412C1" w:rsidRPr="008C0160">
        <w:rPr>
          <w:lang w:eastAsia="en-AU" w:bidi="ar-SA"/>
        </w:rPr>
        <w:t xml:space="preserve">A specification for silver chloride which meets the requirements of the Code is provided by the OIV.  </w:t>
      </w:r>
    </w:p>
    <w:p w14:paraId="5F9E809C" w14:textId="77777777" w:rsidR="00E92D8F" w:rsidRPr="008C0160" w:rsidRDefault="00683A22" w:rsidP="0017617B">
      <w:pPr>
        <w:pStyle w:val="Heading2"/>
      </w:pPr>
      <w:bookmarkStart w:id="264" w:name="_Toc467071692"/>
      <w:bookmarkStart w:id="265" w:name="_Toc472668744"/>
      <w:bookmarkStart w:id="266" w:name="_Toc476908633"/>
      <w:bookmarkStart w:id="267" w:name="_Toc478375856"/>
      <w:r w:rsidRPr="008C0160">
        <w:t>3</w:t>
      </w:r>
      <w:r w:rsidRPr="008C0160">
        <w:tab/>
      </w:r>
      <w:r w:rsidR="00866C26" w:rsidRPr="008C0160">
        <w:t xml:space="preserve">Hazard </w:t>
      </w:r>
      <w:r w:rsidR="003D0CA4" w:rsidRPr="008C0160">
        <w:t>a</w:t>
      </w:r>
      <w:r w:rsidR="00866C26" w:rsidRPr="008C0160">
        <w:t>ssessment</w:t>
      </w:r>
      <w:bookmarkEnd w:id="264"/>
      <w:bookmarkEnd w:id="265"/>
      <w:bookmarkEnd w:id="266"/>
      <w:bookmarkEnd w:id="267"/>
    </w:p>
    <w:p w14:paraId="5EB8C73F" w14:textId="77777777" w:rsidR="00D25AB8" w:rsidRPr="008C0160" w:rsidRDefault="00683A22" w:rsidP="0017617B">
      <w:pPr>
        <w:pStyle w:val="Heading3"/>
      </w:pPr>
      <w:bookmarkStart w:id="268" w:name="_Toc467071694"/>
      <w:bookmarkStart w:id="269" w:name="_Toc472668746"/>
      <w:bookmarkStart w:id="270" w:name="_Toc476908634"/>
      <w:bookmarkStart w:id="271" w:name="_Toc478375857"/>
      <w:r w:rsidRPr="008C0160">
        <w:t>3.1</w:t>
      </w:r>
      <w:r w:rsidRPr="008C0160">
        <w:tab/>
      </w:r>
      <w:r w:rsidR="00866C26" w:rsidRPr="008C0160">
        <w:t>Toxicokinetics</w:t>
      </w:r>
      <w:bookmarkEnd w:id="268"/>
      <w:bookmarkEnd w:id="269"/>
      <w:bookmarkEnd w:id="270"/>
      <w:bookmarkEnd w:id="271"/>
    </w:p>
    <w:p w14:paraId="71C0AF46" w14:textId="77777777" w:rsidR="00866C26" w:rsidRPr="008C0160" w:rsidRDefault="00866C26" w:rsidP="00EA589F">
      <w:pPr>
        <w:rPr>
          <w:lang w:eastAsia="en-AU" w:bidi="ar-SA"/>
        </w:rPr>
      </w:pPr>
      <w:r w:rsidRPr="008C0160">
        <w:rPr>
          <w:lang w:eastAsia="en-AU" w:bidi="ar-SA"/>
        </w:rPr>
        <w:t xml:space="preserve">There are few studies that present quantitative data on the absorption of silver from </w:t>
      </w:r>
      <w:r w:rsidR="00AE7235" w:rsidRPr="008C0160">
        <w:rPr>
          <w:lang w:eastAsia="en-AU" w:bidi="ar-SA"/>
        </w:rPr>
        <w:t>the gastrointestinal</w:t>
      </w:r>
      <w:r w:rsidRPr="008C0160">
        <w:rPr>
          <w:lang w:eastAsia="en-AU" w:bidi="ar-SA"/>
        </w:rPr>
        <w:t xml:space="preserve"> tract. Available data suggest that absorption of silver ranges from 0.4 to 10% (Hadrup and Lam, 2014). </w:t>
      </w:r>
    </w:p>
    <w:p w14:paraId="08110625" w14:textId="77777777" w:rsidR="00866C26" w:rsidRPr="008C0160" w:rsidRDefault="00866C26" w:rsidP="00866C26">
      <w:pPr>
        <w:rPr>
          <w:lang w:eastAsia="en-AU" w:bidi="ar-SA"/>
        </w:rPr>
      </w:pPr>
    </w:p>
    <w:p w14:paraId="10257AB5" w14:textId="77777777" w:rsidR="00866C26" w:rsidRPr="008C0160" w:rsidRDefault="00866C26" w:rsidP="00866C26">
      <w:pPr>
        <w:rPr>
          <w:rFonts w:cs="Arial"/>
          <w:lang w:eastAsia="en-AU" w:bidi="ar-SA"/>
        </w:rPr>
      </w:pPr>
      <w:r w:rsidRPr="008C0160">
        <w:rPr>
          <w:lang w:eastAsia="en-AU" w:bidi="ar-SA"/>
        </w:rPr>
        <w:t xml:space="preserve">Toxicokinetics of a single dose of silver ions, administered as silver acetate, were investigated by Boudreau </w:t>
      </w:r>
      <w:r w:rsidRPr="008C0160">
        <w:rPr>
          <w:lang w:eastAsia="en-AU"/>
        </w:rPr>
        <w:t>et al.</w:t>
      </w:r>
      <w:r w:rsidRPr="008C0160">
        <w:rPr>
          <w:lang w:eastAsia="en-AU" w:bidi="ar-SA"/>
        </w:rPr>
        <w:t xml:space="preserve"> (2016) as part of a study comparing silver ions to silver nanoparticles. Male and female Sprague Dawley/CD-23 rats (2/sex/group) were administered a single dose of silver acetate or silver nanoparticles by oral gavage. The dose of silver acetate was 10 mg/kg</w:t>
      </w:r>
      <w:r w:rsidR="00007A18">
        <w:rPr>
          <w:lang w:eastAsia="en-AU" w:bidi="ar-SA"/>
        </w:rPr>
        <w:t xml:space="preserve"> bw</w:t>
      </w:r>
      <w:r w:rsidRPr="008C0160">
        <w:rPr>
          <w:lang w:eastAsia="en-AU" w:bidi="ar-SA"/>
        </w:rPr>
        <w:t xml:space="preserve">. Blood, 100 </w:t>
      </w:r>
      <w:r w:rsidRPr="008C0160">
        <w:rPr>
          <w:rFonts w:cs="Arial"/>
          <w:lang w:eastAsia="en-AU" w:bidi="ar-SA"/>
        </w:rPr>
        <w:t>µ</w:t>
      </w:r>
      <w:r w:rsidRPr="008C0160">
        <w:rPr>
          <w:lang w:eastAsia="en-AU" w:bidi="ar-SA"/>
        </w:rPr>
        <w:t>l/</w:t>
      </w:r>
      <w:r w:rsidR="000179A0" w:rsidRPr="008C0160">
        <w:rPr>
          <w:lang w:eastAsia="en-AU" w:bidi="ar-SA"/>
        </w:rPr>
        <w:t>time point</w:t>
      </w:r>
      <w:r w:rsidRPr="008C0160">
        <w:rPr>
          <w:lang w:eastAsia="en-AU" w:bidi="ar-SA"/>
        </w:rPr>
        <w:t>, was collected from the tail vein at 0, 5, 15 and 30 min, and 1, 2, 6, 8, 12, 24, 48 and 72 h, and analysed for silver content by ICP-MS. For rats of both sexes, the distribution t</w:t>
      </w:r>
      <w:r w:rsidRPr="008C0160">
        <w:rPr>
          <w:rFonts w:cs="Arial"/>
          <w:vertAlign w:val="subscript"/>
          <w:lang w:eastAsia="en-AU" w:bidi="ar-SA"/>
        </w:rPr>
        <w:t>½</w:t>
      </w:r>
      <w:r w:rsidRPr="008C0160">
        <w:rPr>
          <w:lang w:eastAsia="en-AU" w:bidi="ar-SA"/>
        </w:rPr>
        <w:t xml:space="preserve"> for distribution was 4 to 5 h, the elimination t</w:t>
      </w:r>
      <w:r w:rsidRPr="008C0160">
        <w:rPr>
          <w:rFonts w:cs="Arial"/>
          <w:vertAlign w:val="subscript"/>
          <w:lang w:eastAsia="en-AU" w:bidi="ar-SA"/>
        </w:rPr>
        <w:t xml:space="preserve">½ </w:t>
      </w:r>
      <w:r w:rsidRPr="008C0160">
        <w:rPr>
          <w:rFonts w:cs="Arial"/>
          <w:lang w:eastAsia="en-AU" w:bidi="ar-SA"/>
        </w:rPr>
        <w:t xml:space="preserve">was approximately 24 hours, and </w:t>
      </w:r>
      <w:r w:rsidR="00913012" w:rsidRPr="008C0160">
        <w:rPr>
          <w:rFonts w:cs="Arial"/>
          <w:lang w:eastAsia="en-AU" w:bidi="ar-SA"/>
        </w:rPr>
        <w:t>T</w:t>
      </w:r>
      <w:r w:rsidR="00913012" w:rsidRPr="008C0160">
        <w:rPr>
          <w:rFonts w:cs="Arial"/>
          <w:vertAlign w:val="subscript"/>
          <w:lang w:eastAsia="en-AU" w:bidi="ar-SA"/>
        </w:rPr>
        <w:t>max</w:t>
      </w:r>
      <w:r w:rsidRPr="008C0160">
        <w:rPr>
          <w:rFonts w:cs="Arial"/>
          <w:lang w:eastAsia="en-AU" w:bidi="ar-SA"/>
        </w:rPr>
        <w:t xml:space="preserve"> was 12 hours. </w:t>
      </w:r>
      <w:r w:rsidR="0017617B" w:rsidRPr="008C0160">
        <w:rPr>
          <w:rFonts w:cs="Arial"/>
          <w:lang w:eastAsia="en-AU" w:bidi="ar-SA"/>
        </w:rPr>
        <w:t>However,</w:t>
      </w:r>
      <w:r w:rsidRPr="008C0160">
        <w:rPr>
          <w:rFonts w:cs="Arial"/>
          <w:lang w:eastAsia="en-AU" w:bidi="ar-SA"/>
        </w:rPr>
        <w:t xml:space="preserve"> the AUC for female rats (12 µg.h/mL), was approximately double that of male rats (5 µg.h/mL).</w:t>
      </w:r>
    </w:p>
    <w:p w14:paraId="08E12D40" w14:textId="77777777" w:rsidR="00866C26" w:rsidRPr="008C0160" w:rsidRDefault="00866C26" w:rsidP="00866C26">
      <w:pPr>
        <w:rPr>
          <w:rFonts w:cs="Arial"/>
          <w:lang w:eastAsia="en-AU" w:bidi="ar-SA"/>
        </w:rPr>
      </w:pPr>
    </w:p>
    <w:p w14:paraId="4191AC45" w14:textId="77777777" w:rsidR="00866C26" w:rsidRPr="008C0160" w:rsidRDefault="00866C26" w:rsidP="00866C26">
      <w:pPr>
        <w:rPr>
          <w:rFonts w:cs="Arial"/>
          <w:lang w:eastAsia="en-AU" w:bidi="ar-SA"/>
        </w:rPr>
      </w:pPr>
      <w:r w:rsidRPr="008C0160">
        <w:rPr>
          <w:rFonts w:cs="Arial"/>
          <w:lang w:eastAsia="en-AU" w:bidi="ar-SA"/>
        </w:rPr>
        <w:t xml:space="preserve">The distribution and excretion of ionic silver, administered by oral gavage for 28 days as silver acetate, was investigated by Loeschner </w:t>
      </w:r>
      <w:r w:rsidRPr="00096D5E">
        <w:rPr>
          <w:rFonts w:cs="Arial"/>
          <w:lang w:eastAsia="en-AU" w:bidi="ar-SA"/>
        </w:rPr>
        <w:t>et al</w:t>
      </w:r>
      <w:r w:rsidRPr="00937C73">
        <w:rPr>
          <w:rFonts w:cs="Arial"/>
          <w:lang w:eastAsia="en-AU" w:bidi="ar-SA"/>
        </w:rPr>
        <w:t>.</w:t>
      </w:r>
      <w:r w:rsidRPr="008C0160">
        <w:rPr>
          <w:rFonts w:cs="Arial"/>
          <w:lang w:eastAsia="en-AU" w:bidi="ar-SA"/>
        </w:rPr>
        <w:t xml:space="preserve"> (2011). Subjects were female Wistar Hannover Galas rats, 5 weeks old at the start of treatment and weighing approximately 107 g. Rats were pair-housed under standard laboratory husbandry conditions and provided ad libitum with feed and with water acidified with citric acid. Groups included a control group (n=10), a group dosed with silver nanoparticles (n=10), and the group dosed with silver acetate (n=9). The daily dose level of silver ions in the silver acetate was 9 mg/kg bw</w:t>
      </w:r>
      <w:r w:rsidR="004E21B3">
        <w:rPr>
          <w:rFonts w:cs="Arial"/>
          <w:lang w:eastAsia="en-AU" w:bidi="ar-SA"/>
        </w:rPr>
        <w:t>/day.</w:t>
      </w:r>
      <w:r w:rsidRPr="008C0160">
        <w:rPr>
          <w:rFonts w:cs="Arial"/>
          <w:lang w:eastAsia="en-AU" w:bidi="ar-SA"/>
        </w:rPr>
        <w:t xml:space="preserve"> Urine and faeces were collected over 24 from fasted rats in individual metabolism cages during week 3 of study. Rats were killed and exsanguinated on day 29, with necropsy and collection of blood, brain, stomach, liver, kidney, lungs and skeletal muscle. Slides for histopathology were prepared from liver, kidney and ileum. Silver concentrations were determined in tissues, blood plasma, urine and faeces by ICP-MS. Histological sections were processed for autometallography with toluidine blue as the counterstain. Tissues from one rat/group were processed for transmission and scanning electron microscopy. The highest silver concentrations, in decreasing order, in the silver acetate-treated rats were in kidney, lung, muscle, brain and plasma. Silver was also found to in liver, spleen, bone marrow, lymph nodes, skin, thyroid, heart, pancreas, and adrenal glands. The silver concentration was below the level of detection in the tissues of control rats. The concentration of silver in tissues varied considerably between individual rats in the silver acetate-treated group. Excretion of silver in urine was &lt;0.1% while a high level of silver (49% ±</w:t>
      </w:r>
      <w:r w:rsidR="005816A6">
        <w:rPr>
          <w:rFonts w:cs="Arial"/>
          <w:lang w:eastAsia="en-AU" w:bidi="ar-SA"/>
        </w:rPr>
        <w:t xml:space="preserve"> </w:t>
      </w:r>
      <w:r w:rsidRPr="008C0160">
        <w:rPr>
          <w:rFonts w:cs="Arial"/>
          <w:lang w:eastAsia="en-AU" w:bidi="ar-SA"/>
        </w:rPr>
        <w:t>21%) was excreted in the faeces. The authors did not consider it possible to determine absorption of silver from this study, because of the likelihood of biliary excretion of silver, and of binding of silver to the intestinal epithelium. Autometallographic staining and transmission electron microscopy of the ileum showed that silver was deposited in the lamina propria, mainly in the tips of villi, and in the submucosal tissue. Energy dispersive x-ray spectroscopy showed that silver was associated with selenium and sulphur. In the liver, silver was located around central veins and portal tracts, and in Kupffer cells, while in the kidney, it was located in glomeruli and proximal tubules.</w:t>
      </w:r>
    </w:p>
    <w:p w14:paraId="0C8A9981" w14:textId="77777777" w:rsidR="00866C26" w:rsidRPr="008C0160" w:rsidRDefault="00866C26" w:rsidP="00866C26">
      <w:pPr>
        <w:rPr>
          <w:rFonts w:cs="Arial"/>
          <w:lang w:eastAsia="en-AU" w:bidi="ar-SA"/>
        </w:rPr>
      </w:pPr>
    </w:p>
    <w:p w14:paraId="3C2F9373" w14:textId="77777777" w:rsidR="00866C26" w:rsidRPr="008C0160" w:rsidRDefault="00866C26" w:rsidP="00866C26">
      <w:pPr>
        <w:rPr>
          <w:rFonts w:cs="Arial"/>
          <w:lang w:eastAsia="en-AU" w:bidi="ar-SA"/>
        </w:rPr>
      </w:pPr>
      <w:r w:rsidRPr="008C0160">
        <w:rPr>
          <w:rFonts w:cs="Arial"/>
          <w:lang w:eastAsia="en-AU" w:bidi="ar-SA"/>
        </w:rPr>
        <w:t xml:space="preserve">A study by van der Zande </w:t>
      </w:r>
      <w:r w:rsidRPr="008C0160">
        <w:rPr>
          <w:lang w:eastAsia="en-AU"/>
        </w:rPr>
        <w:t>et al</w:t>
      </w:r>
      <w:r w:rsidRPr="008C0160">
        <w:rPr>
          <w:rFonts w:cs="Arial"/>
          <w:i/>
          <w:lang w:eastAsia="en-AU" w:bidi="ar-SA"/>
        </w:rPr>
        <w:t xml:space="preserve">. </w:t>
      </w:r>
      <w:r w:rsidRPr="008C0160">
        <w:rPr>
          <w:rFonts w:cs="Arial"/>
          <w:lang w:eastAsia="en-AU" w:bidi="ar-SA"/>
        </w:rPr>
        <w:t xml:space="preserve">(2012) provides additional information on absorption, distribution and elimination of silver ions administered to male Sprague-Dawley rats in the form of silver nitrate. Rats were maintained under standard laboratory husbandry conditions, not more than 3 per cage. They were approximately 8 weeks old and 245 g bw at the start of the study. Rats were randomly assigned to groups of 5 rats/group. There were five main study groups of which two were groups dosed with silver nanoparticles or a vehicle control. The results from those groups will not be discussed further here. The groups of relevance to this assessment were a group dosed with 9 mg/kg bw silver nitrate in water, and a control group dosed with water. There were two recovery cohorts of 5 rats/cohort for each of the silver nitrate treatment and the two silver nanoparticle treatments. Rats were dosed daily for 28 days by oral gavage, at a dose volume of 3.3 mL/kg bw. Rats were fasted for two hours prior to gavage. During the treatment phase, rats were weighed daily and bled (250 µL) from the tail vein weekly. Faeces samples were collected weekly for silver measurement. The main study groups were killed on day 29, with collection of liver, kidneys, lungs, heart, spleen, brain, bladder, testis, mesenteric lymph nodes, blood, stomach, small intestine, large intestine, small intestinal contents, and large intestinal contents. After day 29, recovery cohorts were weighed weekly. Weekly collection of blood and faeces continued.  On days 36 </w:t>
      </w:r>
      <w:r w:rsidR="000179A0" w:rsidRPr="008C0160">
        <w:rPr>
          <w:rFonts w:cs="Arial"/>
          <w:lang w:eastAsia="en-AU" w:bidi="ar-SA"/>
        </w:rPr>
        <w:t>and 84</w:t>
      </w:r>
      <w:r w:rsidRPr="008C0160">
        <w:rPr>
          <w:rFonts w:cs="Arial"/>
          <w:lang w:eastAsia="en-AU" w:bidi="ar-SA"/>
        </w:rPr>
        <w:t xml:space="preserve">, groups of recovery cohort rats (5/group) were killed and subject to the same post-mortem procedures as the main study groups. </w:t>
      </w:r>
    </w:p>
    <w:p w14:paraId="0838755A" w14:textId="77777777" w:rsidR="00866C26" w:rsidRPr="008C0160" w:rsidRDefault="00866C26" w:rsidP="00866C26">
      <w:pPr>
        <w:rPr>
          <w:rFonts w:cs="Arial"/>
          <w:lang w:eastAsia="en-AU" w:bidi="ar-SA"/>
        </w:rPr>
      </w:pPr>
    </w:p>
    <w:p w14:paraId="78FAB79D" w14:textId="77777777" w:rsidR="00866C26" w:rsidRPr="008C0160" w:rsidRDefault="00866C26" w:rsidP="00866C26">
      <w:pPr>
        <w:rPr>
          <w:rFonts w:cs="Arial"/>
          <w:lang w:eastAsia="en-AU" w:bidi="ar-SA"/>
        </w:rPr>
      </w:pPr>
      <w:r w:rsidRPr="008C0160">
        <w:rPr>
          <w:rFonts w:cs="Arial"/>
          <w:lang w:eastAsia="en-AU" w:bidi="ar-SA"/>
        </w:rPr>
        <w:t xml:space="preserve">Excreted silver in the faeces was estimated to be &gt;99% of the previous day’s intake, implying that only a very small fraction of ingested silver is absorbed. Blood silver on day 29, one day after the last dose administration, was significantly lower than during the dosing period (group mean 59% of that on day 28), and one week after cessation of dosing, blood silver levels were not detectable, indicating a rapid clearance of silver from the circulation. Faecal silver levels were likewise not detectable 1 week after cessation of dosing. In tissues collected on day 29, silver levels were highest in the emptied parts of the gastrointestinal tract, followed by, in descending order, liver, spleen, testis, kidney, brain and lungs.  Analysis of the tissues of rats killed on day 36 showed that </w:t>
      </w:r>
      <w:r w:rsidR="00D30BB1" w:rsidRPr="008C0160">
        <w:rPr>
          <w:rFonts w:cs="Arial"/>
          <w:lang w:eastAsia="en-AU" w:bidi="ar-SA"/>
        </w:rPr>
        <w:t>one-week</w:t>
      </w:r>
      <w:r w:rsidRPr="008C0160">
        <w:rPr>
          <w:rFonts w:cs="Arial"/>
          <w:lang w:eastAsia="en-AU" w:bidi="ar-SA"/>
        </w:rPr>
        <w:t xml:space="preserve"> post-exposure, group mean silver concentrations in most tissues were less than 50% those measured on day 29, and silver was not detectable in most samples on day 84. Exceptions were brain, testis, kidney and spleen. In brain and testis, group mean concentrations of silver on day 36 were 70 to 100% those measured on day 29, while those in kidney and spleen were over 50%. The group mean silver levels in the brain were still above 90% of day 29 levels on day 84 (2 </w:t>
      </w:r>
      <w:r w:rsidR="00D30BB1" w:rsidRPr="008C0160">
        <w:rPr>
          <w:rFonts w:cs="Arial"/>
          <w:lang w:eastAsia="en-AU" w:bidi="ar-SA"/>
        </w:rPr>
        <w:t>months’</w:t>
      </w:r>
      <w:r w:rsidRPr="008C0160">
        <w:rPr>
          <w:rFonts w:cs="Arial"/>
          <w:lang w:eastAsia="en-AU" w:bidi="ar-SA"/>
        </w:rPr>
        <w:t xml:space="preserve"> post-exposure), those in the testis were above 70% on day 84, and those in the kidney were more than 50%. </w:t>
      </w:r>
    </w:p>
    <w:p w14:paraId="4562EB89" w14:textId="77777777" w:rsidR="00866C26" w:rsidRPr="008C0160" w:rsidRDefault="00866C26" w:rsidP="00866C26">
      <w:pPr>
        <w:rPr>
          <w:rFonts w:cs="Arial"/>
          <w:lang w:eastAsia="en-AU" w:bidi="ar-SA"/>
        </w:rPr>
      </w:pPr>
    </w:p>
    <w:p w14:paraId="7EF2B704" w14:textId="77777777" w:rsidR="00866C26" w:rsidRPr="008C0160" w:rsidRDefault="00866C26" w:rsidP="00866C26">
      <w:pPr>
        <w:rPr>
          <w:rFonts w:cs="Arial"/>
          <w:lang w:eastAsia="en-AU" w:bidi="ar-SA"/>
        </w:rPr>
      </w:pPr>
      <w:r w:rsidRPr="008C0160">
        <w:rPr>
          <w:rFonts w:cs="Arial"/>
          <w:lang w:eastAsia="en-AU" w:bidi="ar-SA"/>
        </w:rPr>
        <w:t xml:space="preserve">Boudreau </w:t>
      </w:r>
      <w:r w:rsidRPr="008C0160">
        <w:rPr>
          <w:lang w:eastAsia="en-AU"/>
        </w:rPr>
        <w:t>et al.</w:t>
      </w:r>
      <w:r w:rsidRPr="008C0160">
        <w:rPr>
          <w:rFonts w:cs="Arial"/>
          <w:lang w:eastAsia="en-AU" w:bidi="ar-SA"/>
        </w:rPr>
        <w:t xml:space="preserve"> (2016) further investigated the distribution of silver ions in a 13-week repeat-dose oral gavage study in Sprague Dawley rats, from which information on distribution was obtained. Dose levels of silver acetate were 100, 200 and 400 mg/kg bw. The distribution of silver in tissues was determined by histopathology of a comprehensive range of tissues, as well as by transmission electron microscopy (TEM) and ICP-MS of selected tissues. The tissues subject to TEM were jejunum, proximal ileum, proximal colon, mesenteric lymph nodes, right kidney, median and left lateral lobes of the liver, and the spleen. These tissues, as well as blood, heart, uterine horn, and bone marrow were also subject to silver analysis by ICP-MS. For ICP-MS, the gastrointestinal tract tissues were emptied and flushed.  With the exception of bone marrow, all tissues showed statistically significant, dose-related increased in silver concentrations relative to those in tissues from rats in the control group. Silver accumulations were significantly higher in the tissues of female rats compared to male rats, with the exception of the ileum. Blood levels of silver were not significantly higher after 12 weeks of dosing than after 1 week of dosing, indicating rapid clearance of silver. The highest levels of silver were found in kidney and spleen. In the jejunum, ileum and colon, silver accumulated as granules on the epithelial basement membrane, while in kidney they accumulated on the basement membranes of glomeruli. In the liver, the distribution of silver </w:t>
      </w:r>
      <w:r w:rsidRPr="008C0160">
        <w:rPr>
          <w:rFonts w:cs="Arial"/>
          <w:lang w:eastAsia="en-AU" w:bidi="ar-SA"/>
        </w:rPr>
        <w:lastRenderedPageBreak/>
        <w:t xml:space="preserve">granules was diffuse, while in the spleen they showed an affinity to extracellular membranes but were also found within macrophages. Energy-dispersive X-ray spectroscopy (EDS) was used to analyse the composition of the granules, and showed that selenium, sulphur and chloride were frequently found in association with silver. </w:t>
      </w:r>
    </w:p>
    <w:p w14:paraId="406402E6" w14:textId="77777777" w:rsidR="00866C26" w:rsidRPr="008C0160" w:rsidRDefault="00866C26" w:rsidP="00866C26">
      <w:pPr>
        <w:rPr>
          <w:rFonts w:cs="Arial"/>
          <w:lang w:eastAsia="en-AU" w:bidi="ar-SA"/>
        </w:rPr>
      </w:pPr>
    </w:p>
    <w:p w14:paraId="57D00181" w14:textId="77777777" w:rsidR="00866C26" w:rsidRPr="008C0160" w:rsidRDefault="00866C26" w:rsidP="00866C26">
      <w:pPr>
        <w:rPr>
          <w:rFonts w:cs="Arial"/>
          <w:lang w:eastAsia="en-AU" w:bidi="ar-SA"/>
        </w:rPr>
      </w:pPr>
      <w:r w:rsidRPr="008C0160">
        <w:rPr>
          <w:rFonts w:cs="Arial"/>
          <w:lang w:eastAsia="en-AU" w:bidi="ar-SA"/>
        </w:rPr>
        <w:t xml:space="preserve">In rats, ionic silver crosses the placenta and accumulates in </w:t>
      </w:r>
      <w:r w:rsidR="000179A0" w:rsidRPr="008C0160">
        <w:rPr>
          <w:rFonts w:cs="Arial"/>
          <w:lang w:eastAsia="en-AU" w:bidi="ar-SA"/>
        </w:rPr>
        <w:t>foetal</w:t>
      </w:r>
      <w:r w:rsidRPr="008C0160">
        <w:rPr>
          <w:rFonts w:cs="Arial"/>
          <w:lang w:eastAsia="en-AU" w:bidi="ar-SA"/>
        </w:rPr>
        <w:t xml:space="preserve"> tissues (Charehsaz </w:t>
      </w:r>
      <w:r w:rsidRPr="008C0160">
        <w:rPr>
          <w:lang w:eastAsia="en-AU"/>
        </w:rPr>
        <w:t>et al.</w:t>
      </w:r>
      <w:r w:rsidRPr="008C0160">
        <w:rPr>
          <w:rFonts w:cs="Arial"/>
          <w:lang w:eastAsia="en-AU" w:bidi="ar-SA"/>
        </w:rPr>
        <w:t xml:space="preserve"> 2016; see Section 1.8 below).</w:t>
      </w:r>
    </w:p>
    <w:p w14:paraId="61D6846F" w14:textId="77777777" w:rsidR="00866C26" w:rsidRPr="008C0160" w:rsidRDefault="00866C26" w:rsidP="00866C26">
      <w:pPr>
        <w:rPr>
          <w:rFonts w:cs="Arial"/>
          <w:lang w:eastAsia="en-AU" w:bidi="ar-SA"/>
        </w:rPr>
      </w:pPr>
    </w:p>
    <w:p w14:paraId="7DA3769B" w14:textId="77777777" w:rsidR="00866C26" w:rsidRPr="008C0160" w:rsidRDefault="00866C26" w:rsidP="00866C26">
      <w:pPr>
        <w:rPr>
          <w:rFonts w:cs="Arial"/>
          <w:lang w:eastAsia="en-AU" w:bidi="ar-SA"/>
        </w:rPr>
      </w:pPr>
      <w:r w:rsidRPr="008C0160">
        <w:rPr>
          <w:rFonts w:cs="Arial"/>
          <w:lang w:eastAsia="en-AU" w:bidi="ar-SA"/>
        </w:rPr>
        <w:t xml:space="preserve">In addition to the tissues already mentioned above, ionic silver has been found to distribute to prostate, eyes, tongue, teeth, salivary glands, parathyroid glands (Hadrup and Lam 2014), tongue, teeth, salivary glands, choroid plexus of the brain, and choroid layer of the eye (ATSDR 1990) following oral exposure. </w:t>
      </w:r>
    </w:p>
    <w:p w14:paraId="030A01D0" w14:textId="77777777" w:rsidR="00866C26" w:rsidRPr="008C0160" w:rsidRDefault="00866C26" w:rsidP="00866C26">
      <w:pPr>
        <w:rPr>
          <w:rFonts w:cs="Arial"/>
          <w:lang w:eastAsia="en-AU" w:bidi="ar-SA"/>
        </w:rPr>
      </w:pPr>
    </w:p>
    <w:p w14:paraId="31F43273" w14:textId="77777777" w:rsidR="00866C26" w:rsidRPr="008C0160" w:rsidRDefault="00866C26" w:rsidP="00866C26">
      <w:pPr>
        <w:rPr>
          <w:rFonts w:cs="Arial"/>
          <w:lang w:eastAsia="en-AU" w:bidi="ar-SA"/>
        </w:rPr>
      </w:pPr>
      <w:r w:rsidRPr="008C0160">
        <w:rPr>
          <w:rFonts w:cs="Arial"/>
          <w:lang w:eastAsia="en-AU" w:bidi="ar-SA"/>
        </w:rPr>
        <w:t xml:space="preserve">A woman was administered an oral dose of silver acetate radiolabelled with </w:t>
      </w:r>
      <w:r w:rsidRPr="008C0160">
        <w:rPr>
          <w:rFonts w:cs="Arial"/>
          <w:vertAlign w:val="superscript"/>
          <w:lang w:eastAsia="en-AU" w:bidi="ar-SA"/>
        </w:rPr>
        <w:t>110M</w:t>
      </w:r>
      <w:r w:rsidRPr="008C0160">
        <w:rPr>
          <w:rFonts w:cs="Arial"/>
          <w:lang w:eastAsia="en-AU" w:bidi="ar-SA"/>
        </w:rPr>
        <w:t xml:space="preserve">Ag. Whole-body counting showed that retention of silver was 21%, 20%, 19% and 18.7% of the administered dose after 1, 2, 8 and 30 weeks respectively (MacIntyre </w:t>
      </w:r>
      <w:r w:rsidRPr="008C0160">
        <w:rPr>
          <w:lang w:eastAsia="en-AU"/>
        </w:rPr>
        <w:t>et al.</w:t>
      </w:r>
      <w:r w:rsidRPr="008C0160">
        <w:rPr>
          <w:rFonts w:cs="Arial"/>
          <w:lang w:eastAsia="en-AU" w:bidi="ar-SA"/>
        </w:rPr>
        <w:t xml:space="preserve"> 1978). Deposition of silver in the skin in human beings, causing a blue-grey discolouration called argyria, is considered to be irreversible (ATSDR 1990; Drake and Hazelwood 2005). Argyria may be considered to be a detoxification mechanism in that silver is sequestered in tissues in harmless form, as a complex with protein or as silver sulphide (Drake and Hazelwood 2005). </w:t>
      </w:r>
    </w:p>
    <w:p w14:paraId="00402DDD" w14:textId="77777777" w:rsidR="00866C26" w:rsidRPr="008C0160" w:rsidRDefault="00866C26" w:rsidP="00866C26">
      <w:pPr>
        <w:rPr>
          <w:rFonts w:cs="Arial"/>
          <w:lang w:eastAsia="en-AU" w:bidi="ar-SA"/>
        </w:rPr>
      </w:pPr>
    </w:p>
    <w:p w14:paraId="392C37B9" w14:textId="77777777" w:rsidR="00866C26" w:rsidRPr="008C0160" w:rsidRDefault="00866C26" w:rsidP="00866C26">
      <w:pPr>
        <w:rPr>
          <w:rFonts w:cs="Arial"/>
          <w:lang w:eastAsia="en-AU" w:bidi="ar-SA"/>
        </w:rPr>
      </w:pPr>
      <w:r w:rsidRPr="008C0160">
        <w:rPr>
          <w:rFonts w:cs="Arial"/>
          <w:lang w:eastAsia="en-AU" w:bidi="ar-SA"/>
        </w:rPr>
        <w:t>It is thought that absorbed silver forms complexes with proteins and nucleic acids, by binding to sulfhydryl, amino, carboxyl, phosphate and imidazole groups (ATSDR 1990; Drake and Hazelwood 2005)</w:t>
      </w:r>
    </w:p>
    <w:p w14:paraId="70629623" w14:textId="77777777" w:rsidR="00866C26" w:rsidRPr="008C0160" w:rsidRDefault="00866C26" w:rsidP="00866C26">
      <w:pPr>
        <w:rPr>
          <w:rFonts w:cs="Arial"/>
          <w:lang w:eastAsia="en-AU" w:bidi="ar-SA"/>
        </w:rPr>
      </w:pPr>
    </w:p>
    <w:p w14:paraId="1126B474" w14:textId="77777777" w:rsidR="00866C26" w:rsidRPr="008C0160" w:rsidRDefault="00866C26" w:rsidP="00866C26">
      <w:pPr>
        <w:rPr>
          <w:lang w:eastAsia="en-AU" w:bidi="ar-SA"/>
        </w:rPr>
      </w:pPr>
      <w:r w:rsidRPr="008C0160">
        <w:rPr>
          <w:rFonts w:cs="Arial"/>
          <w:lang w:eastAsia="en-AU" w:bidi="ar-SA"/>
        </w:rPr>
        <w:t xml:space="preserve">Silver is eliminated primarily in the faeces (ATSDR 1990). Ligation of the bile duct significantly diminishes the faecal excretion of orally administered silver, which is consistent with biliary excretion being an important pathway (Hadrup and Lam 2014). </w:t>
      </w:r>
    </w:p>
    <w:p w14:paraId="14E583CF" w14:textId="77777777" w:rsidR="00866C26" w:rsidRPr="008C0160" w:rsidRDefault="00683A22" w:rsidP="0017617B">
      <w:pPr>
        <w:pStyle w:val="Heading3"/>
      </w:pPr>
      <w:bookmarkStart w:id="272" w:name="_Toc467071695"/>
      <w:bookmarkStart w:id="273" w:name="_Toc472668747"/>
      <w:bookmarkStart w:id="274" w:name="_Toc476908635"/>
      <w:bookmarkStart w:id="275" w:name="_Toc478375858"/>
      <w:r w:rsidRPr="008C0160">
        <w:t>3.2</w:t>
      </w:r>
      <w:r w:rsidRPr="008C0160">
        <w:tab/>
      </w:r>
      <w:r w:rsidR="00866C26" w:rsidRPr="008C0160">
        <w:t>Genotoxicity studies</w:t>
      </w:r>
      <w:bookmarkEnd w:id="272"/>
      <w:bookmarkEnd w:id="273"/>
      <w:bookmarkEnd w:id="274"/>
      <w:bookmarkEnd w:id="275"/>
    </w:p>
    <w:p w14:paraId="43FE627B" w14:textId="77777777" w:rsidR="00866C26" w:rsidRPr="008C0160" w:rsidRDefault="00683A22" w:rsidP="0017617B">
      <w:pPr>
        <w:pStyle w:val="Heading4"/>
      </w:pPr>
      <w:r w:rsidRPr="008C0160">
        <w:t>3.2.1</w:t>
      </w:r>
      <w:r w:rsidRPr="008C0160">
        <w:tab/>
      </w:r>
      <w:r w:rsidR="00866C26" w:rsidRPr="008C0160">
        <w:t>Reviews</w:t>
      </w:r>
    </w:p>
    <w:p w14:paraId="1114F110" w14:textId="77777777" w:rsidR="00866C26" w:rsidRPr="008C0160" w:rsidRDefault="00866C26" w:rsidP="00866C26">
      <w:pPr>
        <w:rPr>
          <w:lang w:eastAsia="en-AU"/>
        </w:rPr>
      </w:pPr>
      <w:r w:rsidRPr="008C0160">
        <w:rPr>
          <w:lang w:eastAsia="en-AU"/>
        </w:rPr>
        <w:t xml:space="preserve">The ATSDR reported in 1990 that they had found no studies on the genotoxic effects, in humans or animals, of oral exposure to silver or compounds of silver (ATSDR 1990). Hadrup and Lam (2014) cited an early (1975) study reporting negative results for silver chloride in a bacterial mutagenicity test using </w:t>
      </w:r>
      <w:r w:rsidRPr="008C0160">
        <w:rPr>
          <w:i/>
          <w:lang w:eastAsia="en-AU"/>
        </w:rPr>
        <w:t>Bacillus subtilis</w:t>
      </w:r>
      <w:r w:rsidRPr="008C0160">
        <w:rPr>
          <w:lang w:eastAsia="en-AU"/>
        </w:rPr>
        <w:t>, as well as a publication reporting lack of genotoxicity of silver iodide in assays including the bacterial reverse mutation (Ames) test, microsome test in human lymphocytes, and P388 lymphocyte leukaemia cells in mouse peritoneal cavity. Micronuclei were induced in TK6 lymphoblastoid cells in the presence of a high concentration of 5 nm silver nanoparticles. Hadrup and Lam (2014) concluded that silver has only limited genotoxic effects.</w:t>
      </w:r>
    </w:p>
    <w:p w14:paraId="6B70A743" w14:textId="77777777" w:rsidR="00866C26" w:rsidRPr="008C0160" w:rsidRDefault="00866C26" w:rsidP="00866C26">
      <w:pPr>
        <w:rPr>
          <w:lang w:eastAsia="en-AU"/>
        </w:rPr>
      </w:pPr>
    </w:p>
    <w:p w14:paraId="5BCD94DF" w14:textId="77777777" w:rsidR="00866C26" w:rsidRPr="008C0160" w:rsidRDefault="00866C26" w:rsidP="00866C26">
      <w:pPr>
        <w:rPr>
          <w:lang w:eastAsia="en-AU" w:bidi="ar-SA"/>
        </w:rPr>
      </w:pPr>
      <w:r w:rsidRPr="008C0160">
        <w:rPr>
          <w:lang w:eastAsia="en-AU"/>
        </w:rPr>
        <w:t xml:space="preserve">No studies concerning the carcinogenicity of oral exposure to silver or silver compounds </w:t>
      </w:r>
      <w:r w:rsidRPr="008C0160">
        <w:rPr>
          <w:lang w:eastAsia="en-AU" w:bidi="ar-SA"/>
        </w:rPr>
        <w:t xml:space="preserve">were located. </w:t>
      </w:r>
    </w:p>
    <w:p w14:paraId="78D51FA0" w14:textId="77777777" w:rsidR="00866C26" w:rsidRPr="008C0160" w:rsidRDefault="00866C26" w:rsidP="0017617B">
      <w:pPr>
        <w:pStyle w:val="Heading5"/>
      </w:pPr>
      <w:r w:rsidRPr="008C0160">
        <w:t xml:space="preserve">Bacterial reverse mutation test </w:t>
      </w:r>
    </w:p>
    <w:p w14:paraId="232B3D8E" w14:textId="77777777" w:rsidR="00866C26" w:rsidRPr="008C0160" w:rsidRDefault="00866C26" w:rsidP="00866C26">
      <w:pPr>
        <w:rPr>
          <w:lang w:eastAsia="en-AU" w:bidi="ar-SA"/>
        </w:rPr>
      </w:pPr>
      <w:r w:rsidRPr="008C0160">
        <w:rPr>
          <w:lang w:eastAsia="en-AU" w:bidi="ar-SA"/>
        </w:rPr>
        <w:t xml:space="preserve">Bacterial strains used in this assay </w:t>
      </w:r>
      <w:r w:rsidR="007E45EB" w:rsidRPr="008C0160">
        <w:t>(Asakura et al. 2009)</w:t>
      </w:r>
      <w:r w:rsidR="007E45EB" w:rsidRPr="008C0160">
        <w:rPr>
          <w:b/>
          <w:i/>
        </w:rPr>
        <w:t xml:space="preserve"> </w:t>
      </w:r>
      <w:r w:rsidRPr="008C0160">
        <w:rPr>
          <w:lang w:eastAsia="en-AU" w:bidi="ar-SA"/>
        </w:rPr>
        <w:t xml:space="preserve">were </w:t>
      </w:r>
      <w:r w:rsidRPr="008C0160">
        <w:rPr>
          <w:i/>
          <w:lang w:eastAsia="en-AU" w:bidi="ar-SA"/>
        </w:rPr>
        <w:t>Salmonella typhimurium</w:t>
      </w:r>
      <w:r w:rsidRPr="008C0160">
        <w:rPr>
          <w:lang w:eastAsia="en-AU" w:bidi="ar-SA"/>
        </w:rPr>
        <w:t xml:space="preserve"> strains TA100, TA1535, TA98 and TA1537, and </w:t>
      </w:r>
      <w:r w:rsidRPr="008C0160">
        <w:rPr>
          <w:i/>
          <w:lang w:eastAsia="en-AU" w:bidi="ar-SA"/>
        </w:rPr>
        <w:t>Escherichia coli</w:t>
      </w:r>
      <w:r w:rsidRPr="008C0160">
        <w:rPr>
          <w:lang w:eastAsia="en-AU" w:bidi="ar-SA"/>
        </w:rPr>
        <w:t xml:space="preserve"> strain WP2</w:t>
      </w:r>
      <w:r w:rsidRPr="008C0160">
        <w:rPr>
          <w:i/>
          <w:lang w:eastAsia="en-AU" w:bidi="ar-SA"/>
        </w:rPr>
        <w:t>uvr</w:t>
      </w:r>
      <w:r w:rsidRPr="008C0160">
        <w:rPr>
          <w:lang w:eastAsia="en-AU" w:bidi="ar-SA"/>
        </w:rPr>
        <w:t>A/pKM101.Positive control substances for assays without S9 mix were 2-(2-furyl)-3-(5-nitro-2-furyl)-acrylamide for TA98, TA100 and WP2</w:t>
      </w:r>
      <w:r w:rsidRPr="008C0160">
        <w:rPr>
          <w:i/>
          <w:lang w:eastAsia="en-AU" w:bidi="ar-SA"/>
        </w:rPr>
        <w:t>uvr</w:t>
      </w:r>
      <w:r w:rsidRPr="008C0160">
        <w:rPr>
          <w:lang w:eastAsia="en-AU" w:bidi="ar-SA"/>
        </w:rPr>
        <w:t xml:space="preserve">A/pKM191; sodium azide for TA1535; and 9-aminoacridine hydrochloride for TA1537. For assays with S9 mix, the positive control substance was 2-aminoanthracene. Silver was suspended in DMSO at 50 mg/mL and then serially diluted with the same solvent. Positive controls were dissolved in DMSO, with </w:t>
      </w:r>
      <w:r w:rsidRPr="008C0160">
        <w:rPr>
          <w:lang w:eastAsia="en-AU" w:bidi="ar-SA"/>
        </w:rPr>
        <w:lastRenderedPageBreak/>
        <w:t>the exception of sodium azide which was dissolved in water. A dose-</w:t>
      </w:r>
      <w:r w:rsidR="000179A0" w:rsidRPr="008C0160">
        <w:rPr>
          <w:lang w:eastAsia="en-AU" w:bidi="ar-SA"/>
        </w:rPr>
        <w:t>range finding</w:t>
      </w:r>
      <w:r w:rsidRPr="008C0160">
        <w:rPr>
          <w:lang w:eastAsia="en-AU" w:bidi="ar-SA"/>
        </w:rPr>
        <w:t xml:space="preserve"> assay was conducted with silver concentrations of 5000, 1250, 313, 78.1, 19.5, 4.88, 1.22 and 0.305</w:t>
      </w:r>
      <w:r w:rsidR="002478D8">
        <w:rPr>
          <w:lang w:eastAsia="en-AU" w:bidi="ar-SA"/>
        </w:rPr>
        <w:t> </w:t>
      </w:r>
      <w:r w:rsidRPr="008C0160">
        <w:rPr>
          <w:rFonts w:cs="Arial"/>
          <w:lang w:eastAsia="en-AU" w:bidi="ar-SA"/>
        </w:rPr>
        <w:t>µ</w:t>
      </w:r>
      <w:r w:rsidRPr="008C0160">
        <w:rPr>
          <w:lang w:eastAsia="en-AU" w:bidi="ar-SA"/>
        </w:rPr>
        <w:t xml:space="preserve">g/plate. The number of revertant colonies was less than twice that of the corresponding negative solvent control in all tester strains, with or without S9 mix, and there was no microbial toxicity. Doses of silver selected for the main test were therefore 5000, 2500, 1250, 625 and 313 </w:t>
      </w:r>
      <w:r w:rsidRPr="008C0160">
        <w:rPr>
          <w:rFonts w:cs="Arial"/>
          <w:lang w:eastAsia="en-AU" w:bidi="ar-SA"/>
        </w:rPr>
        <w:t>µg/plate</w:t>
      </w:r>
      <w:r w:rsidRPr="008C0160">
        <w:rPr>
          <w:lang w:eastAsia="en-AU" w:bidi="ar-SA"/>
        </w:rPr>
        <w:t xml:space="preserve">. For the main test, which was conducted by the </w:t>
      </w:r>
      <w:r w:rsidR="000179A0" w:rsidRPr="008C0160">
        <w:rPr>
          <w:lang w:eastAsia="en-AU" w:bidi="ar-SA"/>
        </w:rPr>
        <w:t>pre-incubation</w:t>
      </w:r>
      <w:r w:rsidRPr="008C0160">
        <w:rPr>
          <w:lang w:eastAsia="en-AU" w:bidi="ar-SA"/>
        </w:rPr>
        <w:t xml:space="preserve"> method, three plates were used for each concentration as well as for positive and negative controls. Plates were incubated for 48 hours at 37</w:t>
      </w:r>
      <w:r w:rsidRPr="008C0160">
        <w:rPr>
          <w:rFonts w:cs="Arial"/>
          <w:lang w:eastAsia="en-AU" w:bidi="ar-SA"/>
        </w:rPr>
        <w:t>º</w:t>
      </w:r>
      <w:r w:rsidRPr="008C0160">
        <w:rPr>
          <w:lang w:eastAsia="en-AU" w:bidi="ar-SA"/>
        </w:rPr>
        <w:t xml:space="preserve">C. The number of revertant colonies was less than twice that in the negative control plates at all doses of silver. No microbial toxicity was observed. Precipitation of silver occurred at </w:t>
      </w:r>
      <w:r w:rsidRPr="008C0160">
        <w:rPr>
          <w:rFonts w:cs="Arial"/>
          <w:lang w:eastAsia="en-AU" w:bidi="ar-SA"/>
        </w:rPr>
        <w:t>≥</w:t>
      </w:r>
      <w:r w:rsidRPr="008C0160">
        <w:rPr>
          <w:lang w:eastAsia="en-AU" w:bidi="ar-SA"/>
        </w:rPr>
        <w:t xml:space="preserve">2500 </w:t>
      </w:r>
      <w:r w:rsidRPr="008C0160">
        <w:rPr>
          <w:rFonts w:cs="Arial"/>
          <w:lang w:eastAsia="en-AU" w:bidi="ar-SA"/>
        </w:rPr>
        <w:t>µ</w:t>
      </w:r>
      <w:r w:rsidRPr="008C0160">
        <w:rPr>
          <w:lang w:eastAsia="en-AU" w:bidi="ar-SA"/>
        </w:rPr>
        <w:t xml:space="preserve">g silver, with and without S9 mix. The number of revertant colonies was increased, and more than double that in the negative controls, in the positive control plates. It was concluded that silver was not genotoxic in this assay. </w:t>
      </w:r>
    </w:p>
    <w:p w14:paraId="4CE530F3" w14:textId="77777777" w:rsidR="00866C26" w:rsidRPr="008C0160" w:rsidRDefault="00866C26" w:rsidP="0017617B">
      <w:pPr>
        <w:pStyle w:val="Heading5"/>
      </w:pPr>
      <w:r w:rsidRPr="008C0160">
        <w:t xml:space="preserve">Chromosomal aberration test in Chinese hamster lung cells in vitro </w:t>
      </w:r>
    </w:p>
    <w:p w14:paraId="0F93B53E" w14:textId="77777777" w:rsidR="00866C26" w:rsidRPr="008C0160" w:rsidRDefault="00866C26" w:rsidP="00866C26">
      <w:pPr>
        <w:rPr>
          <w:lang w:eastAsia="en-AU" w:bidi="ar-SA"/>
        </w:rPr>
      </w:pPr>
      <w:r w:rsidRPr="008C0160">
        <w:rPr>
          <w:lang w:eastAsia="en-AU" w:bidi="ar-SA"/>
        </w:rPr>
        <w:t>For the purpose of this test,</w:t>
      </w:r>
      <w:r w:rsidR="007E45EB" w:rsidRPr="008C0160">
        <w:rPr>
          <w:b/>
          <w:i/>
        </w:rPr>
        <w:t xml:space="preserve"> </w:t>
      </w:r>
      <w:r w:rsidR="007E45EB" w:rsidRPr="008C0160">
        <w:t>(Asakura et al. 2009)</w:t>
      </w:r>
      <w:r w:rsidR="007E45EB" w:rsidRPr="008C0160">
        <w:rPr>
          <w:b/>
          <w:i/>
        </w:rPr>
        <w:t xml:space="preserve"> </w:t>
      </w:r>
      <w:r w:rsidRPr="008C0160">
        <w:rPr>
          <w:lang w:eastAsia="en-AU" w:bidi="ar-SA"/>
        </w:rPr>
        <w:t>silver was suspended in 1% sodium carboxymethylcellulose, which was also used as the negative control. Positive control substances were mitomycin C and benzo[a]pyrene. An initial cell growth inhibition test was carried out, with and without S9 mix, with 0.3 mL silver suspension at concentrations of 5000, 2500, 1250, 625 and 313</w:t>
      </w:r>
      <w:r w:rsidR="00937C73">
        <w:rPr>
          <w:lang w:eastAsia="en-AU" w:bidi="ar-SA"/>
        </w:rPr>
        <w:t xml:space="preserve"> </w:t>
      </w:r>
      <w:r w:rsidRPr="008C0160">
        <w:rPr>
          <w:rFonts w:cs="Arial"/>
          <w:lang w:eastAsia="en-AU" w:bidi="ar-SA"/>
        </w:rPr>
        <w:t xml:space="preserve">µg/mL. No cell growth inhibition was observed at any level. </w:t>
      </w:r>
      <w:r w:rsidR="00D30BB1" w:rsidRPr="008C0160">
        <w:rPr>
          <w:rFonts w:cs="Arial"/>
          <w:lang w:eastAsia="en-AU" w:bidi="ar-SA"/>
        </w:rPr>
        <w:t>Therefore,</w:t>
      </w:r>
      <w:r w:rsidRPr="008C0160">
        <w:rPr>
          <w:rFonts w:cs="Arial"/>
          <w:lang w:eastAsia="en-AU" w:bidi="ar-SA"/>
        </w:rPr>
        <w:t xml:space="preserve"> the silver concentrations used for the pulse test were 5000, 2500 and 1250 µg/mL. The test was conducted in duplicate. Cells were incubated exposed to silver for six hours, washed, and incubated with fresh culture medium for a further 18 hours. Colcemid was added to arrest cells in metaphase, two hours before the end of incubation. Cell survival was measured, and two slides of fixed cells were prepared from each culture plate. One hundred cells in metaphase were examined for each slide. When results of the pulse test were negative, a further test was conducted using </w:t>
      </w:r>
      <w:r w:rsidR="00D30BB1" w:rsidRPr="008C0160">
        <w:rPr>
          <w:rFonts w:cs="Arial"/>
          <w:lang w:eastAsia="en-AU" w:bidi="ar-SA"/>
        </w:rPr>
        <w:t>24-hour</w:t>
      </w:r>
      <w:r w:rsidRPr="008C0160">
        <w:rPr>
          <w:rFonts w:cs="Arial"/>
          <w:lang w:eastAsia="en-AU" w:bidi="ar-SA"/>
        </w:rPr>
        <w:t xml:space="preserve"> continuous incubation with silver at concentrations of 5000, 2500, 1250, 625 and 313 µg/mL Mitomycin C was used as the positive control. The incidence of cells with structurally and numerically aberrant chromosomes was less than 5% for the silver-treated cells and the negative control cells in both the pulse and continuous tests, while the incidence of cells with structurally and numerically aberrant chromosomes was greater than 10% in both tests in the presence of positive control substances. It was concluded that silver was not genotoxic in this assay. </w:t>
      </w:r>
    </w:p>
    <w:p w14:paraId="309CD2A2" w14:textId="77777777" w:rsidR="00866C26" w:rsidRPr="008C0160" w:rsidRDefault="00866C26" w:rsidP="0017617B">
      <w:pPr>
        <w:pStyle w:val="Heading5"/>
      </w:pPr>
      <w:r w:rsidRPr="008C0160">
        <w:t xml:space="preserve">Rat micronucleus study </w:t>
      </w:r>
    </w:p>
    <w:p w14:paraId="0B4952CB" w14:textId="77777777" w:rsidR="00866C26" w:rsidRPr="008C0160" w:rsidRDefault="00866C26" w:rsidP="00866C26">
      <w:pPr>
        <w:widowControl/>
        <w:autoSpaceDE w:val="0"/>
        <w:autoSpaceDN w:val="0"/>
        <w:adjustRightInd w:val="0"/>
        <w:rPr>
          <w:lang w:eastAsia="en-AU" w:bidi="ar-SA"/>
        </w:rPr>
      </w:pPr>
      <w:r w:rsidRPr="008C0160">
        <w:rPr>
          <w:lang w:eastAsia="en-AU" w:bidi="ar-SA"/>
        </w:rPr>
        <w:t xml:space="preserve">A micronucleus assay </w:t>
      </w:r>
      <w:r w:rsidR="007E45EB" w:rsidRPr="008C0160">
        <w:t>(Boudreau et al. 2016)</w:t>
      </w:r>
      <w:r w:rsidR="00791EE9" w:rsidRPr="008C0160">
        <w:rPr>
          <w:b/>
          <w:i/>
        </w:rPr>
        <w:t xml:space="preserve"> </w:t>
      </w:r>
      <w:r w:rsidRPr="008C0160">
        <w:rPr>
          <w:lang w:eastAsia="en-AU" w:bidi="ar-SA"/>
        </w:rPr>
        <w:t>was included in the 13-week repeat-dose oral gavage study. The micronucleus assay was conducted by flow cytometric analysis of peripheral blood collected from rats of both sexes during weeks 1, 4 and 12 of the study. Male and female rats treated with the highest dose of silver acetate, 400 mg/kg bw/d, had a small but significant increase in the frequency of micronucleated reticulocytes at Week 4 but not at Week 1. The authors noted that the rats in the 400 mg/kg bw</w:t>
      </w:r>
      <w:r w:rsidR="004E21B3">
        <w:rPr>
          <w:lang w:eastAsia="en-AU" w:bidi="ar-SA"/>
        </w:rPr>
        <w:t>/day</w:t>
      </w:r>
      <w:r w:rsidR="00937C73">
        <w:rPr>
          <w:lang w:eastAsia="en-AU" w:bidi="ar-SA"/>
        </w:rPr>
        <w:t xml:space="preserve"> </w:t>
      </w:r>
      <w:r w:rsidR="000179A0" w:rsidRPr="008C0160">
        <w:rPr>
          <w:lang w:eastAsia="en-AU" w:bidi="ar-SA"/>
        </w:rPr>
        <w:t>exhibited</w:t>
      </w:r>
      <w:r w:rsidRPr="008C0160">
        <w:rPr>
          <w:lang w:eastAsia="en-AU" w:bidi="ar-SA"/>
        </w:rPr>
        <w:t xml:space="preserve"> severe gastrointestinal dysfunction and only one female rat, and no males, in the micronuclei sampling cohort in th400 mg/kg bw</w:t>
      </w:r>
      <w:r w:rsidR="004E21B3">
        <w:rPr>
          <w:lang w:eastAsia="en-AU" w:bidi="ar-SA"/>
        </w:rPr>
        <w:t>/day</w:t>
      </w:r>
      <w:r w:rsidR="00937C73">
        <w:rPr>
          <w:lang w:eastAsia="en-AU" w:bidi="ar-SA"/>
        </w:rPr>
        <w:t xml:space="preserve"> </w:t>
      </w:r>
      <w:r w:rsidRPr="008C0160">
        <w:rPr>
          <w:lang w:eastAsia="en-AU" w:bidi="ar-SA"/>
        </w:rPr>
        <w:t xml:space="preserve">group survived to week 12. The authors did not draw any conclusions from the results of the micronucleus study. </w:t>
      </w:r>
    </w:p>
    <w:p w14:paraId="16F9E33B" w14:textId="77777777" w:rsidR="008D6EBC" w:rsidRPr="008C0160" w:rsidRDefault="00683A22" w:rsidP="0017617B">
      <w:pPr>
        <w:pStyle w:val="Heading3"/>
      </w:pPr>
      <w:bookmarkStart w:id="276" w:name="_Toc467071696"/>
      <w:bookmarkStart w:id="277" w:name="_Toc472668748"/>
      <w:bookmarkStart w:id="278" w:name="_Toc476908636"/>
      <w:bookmarkStart w:id="279" w:name="_Toc478375859"/>
      <w:r w:rsidRPr="008C0160">
        <w:t>3.3</w:t>
      </w:r>
      <w:r w:rsidRPr="008C0160">
        <w:tab/>
      </w:r>
      <w:r w:rsidR="00866C26" w:rsidRPr="008C0160">
        <w:t>Animal studies</w:t>
      </w:r>
      <w:bookmarkEnd w:id="276"/>
      <w:bookmarkEnd w:id="277"/>
      <w:bookmarkEnd w:id="278"/>
      <w:bookmarkEnd w:id="279"/>
    </w:p>
    <w:p w14:paraId="0B8F0BBA" w14:textId="77777777" w:rsidR="00866C26" w:rsidRPr="008C0160" w:rsidRDefault="00683A22" w:rsidP="0017617B">
      <w:pPr>
        <w:pStyle w:val="Heading4"/>
      </w:pPr>
      <w:r w:rsidRPr="008C0160">
        <w:t>3.3.1</w:t>
      </w:r>
      <w:r w:rsidRPr="008C0160">
        <w:tab/>
      </w:r>
      <w:r w:rsidR="00866C26" w:rsidRPr="008C0160">
        <w:t>General Toxicology Studies</w:t>
      </w:r>
    </w:p>
    <w:p w14:paraId="09C1A861" w14:textId="77777777" w:rsidR="00866C26" w:rsidRPr="008C0160" w:rsidRDefault="00866C26" w:rsidP="00866C26">
      <w:pPr>
        <w:rPr>
          <w:lang w:eastAsia="en-AU" w:bidi="ar-SA"/>
        </w:rPr>
      </w:pPr>
      <w:r w:rsidRPr="008C0160">
        <w:rPr>
          <w:lang w:eastAsia="en-AU" w:bidi="ar-SA"/>
        </w:rPr>
        <w:t xml:space="preserve">Silver nitrate administered to rats in drinking water for 8.5 months, at a level corresponding to 81 mg silver/kg bw/d, retarded growth rate in rats (Matuk </w:t>
      </w:r>
      <w:r w:rsidRPr="008C0160">
        <w:rPr>
          <w:lang w:eastAsia="en-AU"/>
        </w:rPr>
        <w:t>et al.</w:t>
      </w:r>
      <w:r w:rsidRPr="008C0160">
        <w:rPr>
          <w:lang w:eastAsia="en-AU" w:bidi="ar-SA"/>
        </w:rPr>
        <w:t xml:space="preserve"> 1981, as reviewed by Hadrup and Lam 2014).  Silver nitrate administered in drinking water for 125 days, at a level equivalent to 14 mg/kg bw/d, affected activity levels in mice (Rungby and Danscher 1984, as </w:t>
      </w:r>
      <w:r w:rsidRPr="008C0160">
        <w:rPr>
          <w:lang w:eastAsia="en-AU" w:bidi="ar-SA"/>
        </w:rPr>
        <w:lastRenderedPageBreak/>
        <w:t xml:space="preserve">reviewed by Hadrup and Lam 2014). </w:t>
      </w:r>
    </w:p>
    <w:p w14:paraId="6565417D" w14:textId="77777777" w:rsidR="00866C26" w:rsidRPr="008C0160" w:rsidRDefault="00866C26" w:rsidP="0017617B">
      <w:pPr>
        <w:pStyle w:val="Heading5"/>
      </w:pPr>
      <w:r w:rsidRPr="008C0160">
        <w:t xml:space="preserve">28-day repeat-dose oral toxicity study in rats </w:t>
      </w:r>
    </w:p>
    <w:p w14:paraId="788E57B6" w14:textId="77777777" w:rsidR="00866C26" w:rsidRPr="008C0160" w:rsidRDefault="00866C26" w:rsidP="00547944">
      <w:pPr>
        <w:rPr>
          <w:lang w:eastAsia="en-AU" w:bidi="ar-SA"/>
        </w:rPr>
      </w:pPr>
      <w:r w:rsidRPr="008C0160">
        <w:rPr>
          <w:lang w:eastAsia="en-AU" w:bidi="ar-SA"/>
        </w:rPr>
        <w:t xml:space="preserve">This study </w:t>
      </w:r>
      <w:r w:rsidR="00791EE9" w:rsidRPr="008C0160">
        <w:rPr>
          <w:lang w:eastAsia="en-AU" w:bidi="ar-SA"/>
        </w:rPr>
        <w:t xml:space="preserve">(Hadrup et al. 2012) </w:t>
      </w:r>
      <w:r w:rsidRPr="008C0160">
        <w:rPr>
          <w:lang w:eastAsia="en-AU" w:bidi="ar-SA"/>
        </w:rPr>
        <w:t>was conducted using Wistar Hannover Galas rats. Rats were four weeks old at study start. Female rats (44) were randomised into four groups and males (12) were randomised to two groups. Rats were pair-housed under standard laboratory husbandry conditions and provided with standard diet, and water acidified with citric acid, ad libitum. The vehicle control, administered to 10 females and six males, was 11.5 mg/mL polyvinylpyrrolidone (PVP) in water. Silver nanoparticles in aqueous PVP were administered at 2.25 mg Ag/kg bw</w:t>
      </w:r>
      <w:r w:rsidR="004E21B3">
        <w:rPr>
          <w:lang w:eastAsia="en-AU" w:bidi="ar-SA"/>
        </w:rPr>
        <w:t>/day</w:t>
      </w:r>
      <w:r w:rsidR="00B712CA">
        <w:rPr>
          <w:lang w:eastAsia="en-AU" w:bidi="ar-SA"/>
        </w:rPr>
        <w:t xml:space="preserve"> </w:t>
      </w:r>
      <w:r w:rsidRPr="008C0160">
        <w:rPr>
          <w:lang w:eastAsia="en-AU" w:bidi="ar-SA"/>
        </w:rPr>
        <w:t>to eight females, at 4.5 mg Ag/kg bw</w:t>
      </w:r>
      <w:r w:rsidR="004E21B3">
        <w:rPr>
          <w:lang w:eastAsia="en-AU" w:bidi="ar-SA"/>
        </w:rPr>
        <w:t>/day</w:t>
      </w:r>
      <w:r w:rsidR="00320D08">
        <w:rPr>
          <w:lang w:eastAsia="en-AU" w:bidi="ar-SA"/>
        </w:rPr>
        <w:t xml:space="preserve"> </w:t>
      </w:r>
      <w:r w:rsidRPr="008C0160">
        <w:rPr>
          <w:lang w:eastAsia="en-AU" w:bidi="ar-SA"/>
        </w:rPr>
        <w:t>to eight females, and at 9.0 mg Ag/kg bw</w:t>
      </w:r>
      <w:r w:rsidR="004E21B3">
        <w:rPr>
          <w:lang w:eastAsia="en-AU" w:bidi="ar-SA"/>
        </w:rPr>
        <w:t>/day</w:t>
      </w:r>
      <w:r w:rsidR="00B712CA">
        <w:rPr>
          <w:lang w:eastAsia="en-AU" w:bidi="ar-SA"/>
        </w:rPr>
        <w:t xml:space="preserve"> </w:t>
      </w:r>
      <w:r w:rsidRPr="008C0160">
        <w:rPr>
          <w:lang w:eastAsia="en-AU" w:bidi="ar-SA"/>
        </w:rPr>
        <w:t>to 10 females and 6 males. A further group of eight females were dosed with 14 mg silver acetate/kg bw/d, equal to 9 mg silver/kg bw</w:t>
      </w:r>
      <w:r w:rsidR="004E21B3">
        <w:rPr>
          <w:lang w:eastAsia="en-AU" w:bidi="ar-SA"/>
        </w:rPr>
        <w:t>/day.</w:t>
      </w:r>
      <w:r w:rsidRPr="008C0160">
        <w:rPr>
          <w:lang w:eastAsia="en-AU" w:bidi="ar-SA"/>
        </w:rPr>
        <w:t xml:space="preserve"> All daily doses were divided into two administrations.</w:t>
      </w:r>
    </w:p>
    <w:p w14:paraId="07C7D243" w14:textId="77777777" w:rsidR="00547944" w:rsidRPr="008C0160" w:rsidRDefault="00547944" w:rsidP="00547944">
      <w:pPr>
        <w:rPr>
          <w:lang w:eastAsia="en-AU" w:bidi="ar-SA"/>
        </w:rPr>
      </w:pPr>
    </w:p>
    <w:p w14:paraId="17DA129C" w14:textId="77777777" w:rsidR="00866C26" w:rsidRPr="008C0160" w:rsidRDefault="00866C26" w:rsidP="00547944">
      <w:pPr>
        <w:rPr>
          <w:lang w:eastAsia="en-AU" w:bidi="ar-SA"/>
        </w:rPr>
      </w:pPr>
      <w:r w:rsidRPr="008C0160">
        <w:rPr>
          <w:lang w:eastAsia="en-AU" w:bidi="ar-SA"/>
        </w:rPr>
        <w:t>The results for rats treated with silver nanoparticles will not be reviewed here, because this assessment is of ionic silver.</w:t>
      </w:r>
    </w:p>
    <w:p w14:paraId="24089BFA" w14:textId="77777777" w:rsidR="00547944" w:rsidRPr="008C0160" w:rsidRDefault="00547944" w:rsidP="00547944">
      <w:pPr>
        <w:rPr>
          <w:lang w:eastAsia="en-AU" w:bidi="ar-SA"/>
        </w:rPr>
      </w:pPr>
    </w:p>
    <w:p w14:paraId="79548D39" w14:textId="77777777" w:rsidR="00866C26" w:rsidRPr="008C0160" w:rsidRDefault="00866C26" w:rsidP="00547944">
      <w:pPr>
        <w:rPr>
          <w:lang w:eastAsia="en-AU" w:bidi="ar-SA"/>
        </w:rPr>
      </w:pPr>
      <w:r w:rsidRPr="008C0160">
        <w:rPr>
          <w:lang w:eastAsia="en-AU" w:bidi="ar-SA"/>
        </w:rPr>
        <w:t xml:space="preserve">In-life endpoints included survival, clinical observations, body weights, body weight gains, daily feed intake and daily water intake. On study day 18, rats were placed in individual metabolic cages for 24 hours and were provided with water but not feed while urine and faeces were collected. On day 28, rats were anesthetised with CO2/O2 and decapitated, with collection of blood for haematology and limited clinical chemistry (cholesterol, total protein, albumin, glucose, urea, creatinine, alanine aminotransferase and alkaline phosphatase. Urine was assayed for creatinine. Each rat was subject to complete necropsy with weighing of mesenteric lymph nodes, liver, spleen, kidneys, adrenals, testes, ovaries, heart and brain. From six rats/group, samples of liver, kidney, ileum and myocardium were fixed, processed to slides and stained with haematoxylin and eosin for histopathology. Sections from liver, kidney and ileum were also subject to TUNEL assay of apoptosis, and sections of liver and ileum were subject to immunohistochemical labelling for leucocyte marker/CD45. Caecum contents from all rats were sampled for PCR investigations of bacterial flora, including major bacterial phyla and expression of mRNA for silver resistance genes silCBA, silE, silP and silRS. </w:t>
      </w:r>
    </w:p>
    <w:p w14:paraId="3BBAC7E2" w14:textId="77777777" w:rsidR="00547944" w:rsidRPr="008C0160" w:rsidRDefault="00547944" w:rsidP="00547944">
      <w:pPr>
        <w:rPr>
          <w:lang w:eastAsia="en-AU" w:bidi="ar-SA"/>
        </w:rPr>
      </w:pPr>
    </w:p>
    <w:p w14:paraId="0792EC77" w14:textId="77777777" w:rsidR="00866C26" w:rsidRPr="008C0160" w:rsidRDefault="00866C26" w:rsidP="00547944">
      <w:pPr>
        <w:rPr>
          <w:lang w:eastAsia="en-AU" w:bidi="ar-SA"/>
        </w:rPr>
      </w:pPr>
      <w:r w:rsidRPr="008C0160">
        <w:rPr>
          <w:lang w:eastAsia="en-AU" w:bidi="ar-SA"/>
        </w:rPr>
        <w:t xml:space="preserve">Treatment with silver acetate had no effect of survival or clinical observations. Group mean bodyweight gain was significantly lower than that of female controls in the intervals days 4-7 (47% of controls), days 11-14 (61% that of controls), and days 14-16 (19% that of controls) leading to a significantly lower group mean body weight gain over the study as a whole (79% that of controls) but group mean terminal body weight was not significantly lower than that of controls. Treatment with silver acetate did not significantly affect group mean feed intake, water intake, or haematology. Group mean ALP was significantly (p&lt;0.05) elevated (140%) relative to that of female controls. A slight, but significantly (p&lt;0.05) lower plasma urea (84%) was also found in silver acetate-treated rats. Urine creatinine and creatinine clearance were not affected by treatment. There were no gross lesions on necropsy, but group mean thymus weight, relative to body weight, was significantly (p&lt;0.05) lower than that of control females (85%). No treatment-related microscopic lesions were found in liver, kidneys, ileum or myocardium, and there were no differences in the number of TUNEL-positive apoptotic cells in sections of liver, kidney or ileum. There was no treatment-related difference in leucocyte infiltration of liver or ileum, as determined by immunohistochemical labelling for leucocyte marker/CD45. Treatment with silver acetate did not affect the caecal populations of Firmicutes or Bacteroidetes, or the expression of silver resistance genes. </w:t>
      </w:r>
    </w:p>
    <w:p w14:paraId="2A865006" w14:textId="77777777" w:rsidR="00547944" w:rsidRPr="008C0160" w:rsidRDefault="00547944" w:rsidP="00547944">
      <w:pPr>
        <w:rPr>
          <w:lang w:eastAsia="en-AU" w:bidi="ar-SA"/>
        </w:rPr>
      </w:pPr>
    </w:p>
    <w:p w14:paraId="7DB8B1E5" w14:textId="77777777" w:rsidR="00866C26" w:rsidRPr="008C0160" w:rsidRDefault="00866C26" w:rsidP="00547944">
      <w:pPr>
        <w:rPr>
          <w:lang w:eastAsia="en-AU" w:bidi="ar-SA"/>
        </w:rPr>
      </w:pPr>
      <w:r w:rsidRPr="008C0160">
        <w:rPr>
          <w:lang w:eastAsia="en-AU" w:bidi="ar-SA"/>
        </w:rPr>
        <w:t>On the basis of decreased body weight gain, increased ALP and decreased relative thymus weight, the dose of 14 mg silver acetate/kg bw/d, equal to 9 mg silver/kg bw</w:t>
      </w:r>
      <w:r w:rsidR="004E21B3">
        <w:rPr>
          <w:lang w:eastAsia="en-AU" w:bidi="ar-SA"/>
        </w:rPr>
        <w:t>/day</w:t>
      </w:r>
      <w:r w:rsidR="00B712CA">
        <w:rPr>
          <w:lang w:eastAsia="en-AU" w:bidi="ar-SA"/>
        </w:rPr>
        <w:t xml:space="preserve"> </w:t>
      </w:r>
      <w:r w:rsidRPr="008C0160">
        <w:rPr>
          <w:lang w:eastAsia="en-AU" w:bidi="ar-SA"/>
        </w:rPr>
        <w:t xml:space="preserve">is considered to exceed the toxic threshold and to represent a LOAEL. </w:t>
      </w:r>
    </w:p>
    <w:p w14:paraId="318D957A" w14:textId="77777777" w:rsidR="00866C26" w:rsidRPr="008C0160" w:rsidRDefault="00866C26" w:rsidP="0017617B">
      <w:pPr>
        <w:pStyle w:val="Heading5"/>
      </w:pPr>
      <w:r w:rsidRPr="008C0160">
        <w:lastRenderedPageBreak/>
        <w:t xml:space="preserve">28-day repeat dose study in male rats </w:t>
      </w:r>
    </w:p>
    <w:p w14:paraId="1FAC49C1" w14:textId="77777777" w:rsidR="00866C26" w:rsidRPr="008C0160" w:rsidRDefault="00866C26" w:rsidP="00866C26">
      <w:pPr>
        <w:rPr>
          <w:lang w:eastAsia="en-AU" w:bidi="ar-SA"/>
        </w:rPr>
      </w:pPr>
      <w:r w:rsidRPr="008C0160">
        <w:rPr>
          <w:lang w:eastAsia="en-AU" w:bidi="ar-SA"/>
        </w:rPr>
        <w:t xml:space="preserve">The design of this study </w:t>
      </w:r>
      <w:r w:rsidR="00791EE9" w:rsidRPr="008C0160">
        <w:t xml:space="preserve">(van der Zande et al. 2012) </w:t>
      </w:r>
      <w:r w:rsidRPr="008C0160">
        <w:rPr>
          <w:lang w:eastAsia="en-AU" w:bidi="ar-SA"/>
        </w:rPr>
        <w:t>has been described in the toxicokinetics section, section 1.6 above. The dose of ionic silver used in the study was 9 mg silver/kg bw as silver nitrate, administered by daily oral gavage using water as the vehicle and control article. This dose level of silver had no effect on body weights, body weight gains, or clinical observations. There were no treatment-related effects on plasma AST activity, plasma ALT activity, levels of IgM or IgG in plasma, or proliferation of T or B cells isolated from the spleen or mesenteric lymph nodes. Similarly, treatment did not affect cytokine levels from lymphocytes isolated from the spleen or mesenteric lymph nodes and stimulated with lipopolysaccharides or concanavalin A. It may be concluded from these results that the NOAEL for silver in this study was 9 mg/kg</w:t>
      </w:r>
      <w:r w:rsidR="00007A18">
        <w:rPr>
          <w:lang w:eastAsia="en-AU" w:bidi="ar-SA"/>
        </w:rPr>
        <w:t xml:space="preserve"> bw</w:t>
      </w:r>
      <w:r w:rsidR="00937C73">
        <w:rPr>
          <w:lang w:eastAsia="en-AU" w:bidi="ar-SA"/>
        </w:rPr>
        <w:t>/day</w:t>
      </w:r>
      <w:r w:rsidRPr="008C0160">
        <w:rPr>
          <w:lang w:eastAsia="en-AU" w:bidi="ar-SA"/>
        </w:rPr>
        <w:t xml:space="preserve">. </w:t>
      </w:r>
    </w:p>
    <w:p w14:paraId="2F964230" w14:textId="77777777" w:rsidR="00866C26" w:rsidRPr="008C0160" w:rsidRDefault="00866C26" w:rsidP="0017617B">
      <w:pPr>
        <w:pStyle w:val="Heading5"/>
      </w:pPr>
      <w:r w:rsidRPr="008C0160">
        <w:t xml:space="preserve">13-week repeat dose oral gavage study in rats </w:t>
      </w:r>
    </w:p>
    <w:p w14:paraId="3275F372" w14:textId="77777777" w:rsidR="00866C26" w:rsidRPr="008C0160" w:rsidRDefault="00866C26" w:rsidP="00866C26">
      <w:pPr>
        <w:rPr>
          <w:lang w:eastAsia="en-AU" w:bidi="ar-SA"/>
        </w:rPr>
      </w:pPr>
      <w:r w:rsidRPr="008C0160">
        <w:rPr>
          <w:lang w:eastAsia="en-AU" w:bidi="ar-SA"/>
        </w:rPr>
        <w:t>Sprague Dawley rats (10/sex/group) were treated with 0, 100, 200 or 400 mg/kg bw</w:t>
      </w:r>
      <w:r w:rsidR="004E21B3">
        <w:rPr>
          <w:lang w:eastAsia="en-AU" w:bidi="ar-SA"/>
        </w:rPr>
        <w:t>/day</w:t>
      </w:r>
      <w:r w:rsidR="00937C73">
        <w:rPr>
          <w:lang w:eastAsia="en-AU" w:bidi="ar-SA"/>
        </w:rPr>
        <w:t xml:space="preserve"> </w:t>
      </w:r>
      <w:r w:rsidRPr="008C0160">
        <w:rPr>
          <w:lang w:eastAsia="en-AU" w:bidi="ar-SA"/>
        </w:rPr>
        <w:t xml:space="preserve">silver </w:t>
      </w:r>
      <w:r w:rsidR="00D30BB1" w:rsidRPr="008C0160">
        <w:rPr>
          <w:lang w:eastAsia="en-AU" w:bidi="ar-SA"/>
        </w:rPr>
        <w:t>acetate</w:t>
      </w:r>
      <w:r w:rsidR="00D30BB1" w:rsidRPr="008C0160">
        <w:t xml:space="preserve"> (</w:t>
      </w:r>
      <w:r w:rsidR="00791EE9" w:rsidRPr="008C0160">
        <w:t>Boudreau et al. 2016)</w:t>
      </w:r>
      <w:r w:rsidRPr="008C0160">
        <w:rPr>
          <w:lang w:eastAsia="en-AU" w:bidi="ar-SA"/>
        </w:rPr>
        <w:t xml:space="preserve">. Rats were approximately 7 weeks old at the start of treatment. Rats were gavaged twice daily, 12 hours apart, to a total daily volume of 20 mL/kg. The vehicle and control article was 0.1% methylcellulose in water. Rats were housed, 2/cage, under standard laboratory husbandry conditions. Food and water were provided </w:t>
      </w:r>
      <w:r w:rsidRPr="008C0160">
        <w:rPr>
          <w:i/>
          <w:lang w:eastAsia="en-AU" w:bidi="ar-SA"/>
        </w:rPr>
        <w:t>ad libitum</w:t>
      </w:r>
      <w:r w:rsidRPr="008C0160">
        <w:rPr>
          <w:lang w:eastAsia="en-AU" w:bidi="ar-SA"/>
        </w:rPr>
        <w:t xml:space="preserve">. Rats were subject to daily health checks and weekly detailed clinical observations. Food and water consumption were recorded weekly, and body weights were recorded daily. Blood was collected from tail veins at weeks 1, 4, 8 and 12 for determination of silver concentrations. Rats were fasted overnight prior to scheduled termination. At scheduled and unscheduled terminations, rats were weighed, anaesthetised with carbon dioxide, and exsanguinated by cardiac bleeding for haematology and clinical chemistry. A complete necropsy was performed on all animals. A comprehensive tissue list was collected for histopathology. Samples of ileum and ileal mucosa were collected for evaluations of intestinal microbiota and immune response evaluations. Samples for TEM, ICP-MS and micronucleus assay have been described in in Sections 14.2 and 14.3. Evaluation of reproductive parameters is described under Developmental and Reproductive Toxicology Studies, below. </w:t>
      </w:r>
    </w:p>
    <w:p w14:paraId="7209253E" w14:textId="77777777" w:rsidR="00866C26" w:rsidRPr="008C0160" w:rsidRDefault="00866C26" w:rsidP="00866C26">
      <w:pPr>
        <w:rPr>
          <w:lang w:eastAsia="en-AU" w:bidi="ar-SA"/>
        </w:rPr>
      </w:pPr>
    </w:p>
    <w:p w14:paraId="63E6AAA4" w14:textId="77777777" w:rsidR="00866C26" w:rsidRPr="008C0160" w:rsidRDefault="00866C26" w:rsidP="00866C26">
      <w:pPr>
        <w:rPr>
          <w:lang w:eastAsia="en-AU" w:bidi="ar-SA"/>
        </w:rPr>
      </w:pPr>
      <w:r w:rsidRPr="008C0160">
        <w:rPr>
          <w:lang w:eastAsia="en-AU" w:bidi="ar-SA"/>
        </w:rPr>
        <w:t>High morbidity was observed in the 400 mg/kg bw</w:t>
      </w:r>
      <w:r w:rsidR="004E21B3">
        <w:rPr>
          <w:lang w:eastAsia="en-AU" w:bidi="ar-SA"/>
        </w:rPr>
        <w:t>/day</w:t>
      </w:r>
      <w:r w:rsidR="00937C73">
        <w:rPr>
          <w:lang w:eastAsia="en-AU" w:bidi="ar-SA"/>
        </w:rPr>
        <w:t xml:space="preserve"> </w:t>
      </w:r>
      <w:r w:rsidRPr="008C0160">
        <w:rPr>
          <w:lang w:eastAsia="en-AU" w:bidi="ar-SA"/>
        </w:rPr>
        <w:t xml:space="preserve">group, with 7/10 female and 10/10 males terminated in moribund condition prior to the scheduled end of the in-life phase. Clinical signs in these rats were those of severe gastrointestinal signs, loss of body weight or failure to gain bodyweight, and unthrifty appearance. Treatment with silver acetate at </w:t>
      </w:r>
      <w:r w:rsidRPr="008C0160">
        <w:rPr>
          <w:rFonts w:cs="Arial"/>
          <w:lang w:eastAsia="en-AU" w:bidi="ar-SA"/>
        </w:rPr>
        <w:t>≥</w:t>
      </w:r>
      <w:r w:rsidRPr="008C0160">
        <w:rPr>
          <w:lang w:eastAsia="en-AU" w:bidi="ar-SA"/>
        </w:rPr>
        <w:t xml:space="preserve"> 100 mg/kg bw</w:t>
      </w:r>
      <w:r w:rsidR="004E21B3">
        <w:rPr>
          <w:lang w:eastAsia="en-AU" w:bidi="ar-SA"/>
        </w:rPr>
        <w:t>/day</w:t>
      </w:r>
      <w:r w:rsidR="00937C73">
        <w:rPr>
          <w:lang w:eastAsia="en-AU" w:bidi="ar-SA"/>
        </w:rPr>
        <w:t xml:space="preserve"> </w:t>
      </w:r>
      <w:r w:rsidRPr="008C0160">
        <w:rPr>
          <w:lang w:eastAsia="en-AU" w:bidi="ar-SA"/>
        </w:rPr>
        <w:t xml:space="preserve">had a statistically significant negative effect on body weight gain and terminal body weights in both sexes, although there were no consistent differences in food or water intake. MCV was significantly decreased in female rats treated with </w:t>
      </w:r>
      <w:r w:rsidRPr="008C0160">
        <w:rPr>
          <w:rFonts w:cs="Arial"/>
          <w:lang w:eastAsia="en-AU" w:bidi="ar-SA"/>
        </w:rPr>
        <w:t xml:space="preserve">≥ </w:t>
      </w:r>
      <w:r w:rsidRPr="008C0160">
        <w:rPr>
          <w:lang w:eastAsia="en-AU" w:bidi="ar-SA"/>
        </w:rPr>
        <w:t>200 mg/kg bw</w:t>
      </w:r>
      <w:r w:rsidR="004E21B3">
        <w:rPr>
          <w:lang w:eastAsia="en-AU" w:bidi="ar-SA"/>
        </w:rPr>
        <w:t>/day</w:t>
      </w:r>
      <w:r w:rsidR="00937C73">
        <w:rPr>
          <w:lang w:eastAsia="en-AU" w:bidi="ar-SA"/>
        </w:rPr>
        <w:t xml:space="preserve"> </w:t>
      </w:r>
      <w:r w:rsidRPr="008C0160">
        <w:rPr>
          <w:lang w:eastAsia="en-AU" w:bidi="ar-SA"/>
        </w:rPr>
        <w:t xml:space="preserve">silver acetate and male rats treated with </w:t>
      </w:r>
      <w:r w:rsidRPr="008C0160">
        <w:rPr>
          <w:rFonts w:cs="Arial"/>
          <w:lang w:eastAsia="en-AU" w:bidi="ar-SA"/>
        </w:rPr>
        <w:t>≥ 1</w:t>
      </w:r>
      <w:r w:rsidRPr="008C0160">
        <w:rPr>
          <w:lang w:eastAsia="en-AU" w:bidi="ar-SA"/>
        </w:rPr>
        <w:t>00 mg/kg bw</w:t>
      </w:r>
      <w:r w:rsidR="004E21B3">
        <w:rPr>
          <w:lang w:eastAsia="en-AU" w:bidi="ar-SA"/>
        </w:rPr>
        <w:t>/day</w:t>
      </w:r>
      <w:r w:rsidR="00937C73">
        <w:rPr>
          <w:lang w:eastAsia="en-AU" w:bidi="ar-SA"/>
        </w:rPr>
        <w:t xml:space="preserve"> </w:t>
      </w:r>
      <w:r w:rsidRPr="008C0160">
        <w:rPr>
          <w:lang w:eastAsia="en-AU" w:bidi="ar-SA"/>
        </w:rPr>
        <w:t xml:space="preserve">silver acetate. Serum alkaline phosphatase was significantly elevated in rats of both sexes treated </w:t>
      </w:r>
      <w:r w:rsidR="000179A0" w:rsidRPr="008C0160">
        <w:rPr>
          <w:lang w:eastAsia="en-AU" w:bidi="ar-SA"/>
        </w:rPr>
        <w:t>with ≥</w:t>
      </w:r>
      <w:r w:rsidRPr="008C0160">
        <w:rPr>
          <w:lang w:eastAsia="en-AU" w:bidi="ar-SA"/>
        </w:rPr>
        <w:t xml:space="preserve"> 200 mg/kg bw</w:t>
      </w:r>
      <w:r w:rsidR="004E21B3">
        <w:rPr>
          <w:lang w:eastAsia="en-AU" w:bidi="ar-SA"/>
        </w:rPr>
        <w:t>/day</w:t>
      </w:r>
      <w:r w:rsidR="00937C73">
        <w:rPr>
          <w:lang w:eastAsia="en-AU" w:bidi="ar-SA"/>
        </w:rPr>
        <w:t xml:space="preserve"> </w:t>
      </w:r>
      <w:r w:rsidRPr="008C0160">
        <w:rPr>
          <w:lang w:eastAsia="en-AU" w:bidi="ar-SA"/>
        </w:rPr>
        <w:t>silver acetate, compared to sex-matched controls.</w:t>
      </w:r>
      <w:r w:rsidRPr="008C0160">
        <w:t xml:space="preserve"> </w:t>
      </w:r>
      <w:r w:rsidRPr="008C0160">
        <w:rPr>
          <w:lang w:eastAsia="en-AU" w:bidi="ar-SA"/>
        </w:rPr>
        <w:t>Serum albumin, total protein and creatinine were significantly lower than those of controls in females treated with 400 mg/kg bw</w:t>
      </w:r>
      <w:r w:rsidR="004E21B3">
        <w:rPr>
          <w:lang w:eastAsia="en-AU" w:bidi="ar-SA"/>
        </w:rPr>
        <w:t>/day</w:t>
      </w:r>
      <w:r w:rsidR="00937C73">
        <w:rPr>
          <w:lang w:eastAsia="en-AU" w:bidi="ar-SA"/>
        </w:rPr>
        <w:t xml:space="preserve"> </w:t>
      </w:r>
      <w:r w:rsidRPr="008C0160">
        <w:rPr>
          <w:lang w:eastAsia="en-AU" w:bidi="ar-SA"/>
        </w:rPr>
        <w:t>silver acetate, while serum alanine transferase was significantly higher. No comparison could be made with males for these parameters because no 400 mg/kg bw</w:t>
      </w:r>
      <w:r w:rsidR="004E21B3">
        <w:rPr>
          <w:lang w:eastAsia="en-AU" w:bidi="ar-SA"/>
        </w:rPr>
        <w:t>/day</w:t>
      </w:r>
      <w:r w:rsidR="00937C73">
        <w:rPr>
          <w:lang w:eastAsia="en-AU" w:bidi="ar-SA"/>
        </w:rPr>
        <w:t xml:space="preserve"> </w:t>
      </w:r>
      <w:r w:rsidRPr="008C0160">
        <w:rPr>
          <w:lang w:eastAsia="en-AU" w:bidi="ar-SA"/>
        </w:rPr>
        <w:t xml:space="preserve">males survived to scheduled termination. The relative liver weights of males treated with </w:t>
      </w:r>
      <w:r w:rsidRPr="008C0160">
        <w:rPr>
          <w:rFonts w:cs="Arial"/>
          <w:lang w:eastAsia="en-AU" w:bidi="ar-SA"/>
        </w:rPr>
        <w:t>≥</w:t>
      </w:r>
      <w:r w:rsidRPr="008C0160">
        <w:rPr>
          <w:lang w:eastAsia="en-AU" w:bidi="ar-SA"/>
        </w:rPr>
        <w:t xml:space="preserve"> 100 mg/kg bw</w:t>
      </w:r>
      <w:r w:rsidR="004E21B3">
        <w:rPr>
          <w:lang w:eastAsia="en-AU" w:bidi="ar-SA"/>
        </w:rPr>
        <w:t>/day</w:t>
      </w:r>
      <w:r w:rsidR="00937C73">
        <w:rPr>
          <w:lang w:eastAsia="en-AU" w:bidi="ar-SA"/>
        </w:rPr>
        <w:t xml:space="preserve"> </w:t>
      </w:r>
      <w:r w:rsidRPr="008C0160">
        <w:rPr>
          <w:lang w:eastAsia="en-AU" w:bidi="ar-SA"/>
        </w:rPr>
        <w:t>silver acetate, and females treated with ≥ 200 mg/kg bw</w:t>
      </w:r>
      <w:r w:rsidR="004E21B3">
        <w:rPr>
          <w:lang w:eastAsia="en-AU" w:bidi="ar-SA"/>
        </w:rPr>
        <w:t>/day</w:t>
      </w:r>
      <w:r w:rsidR="00937C73">
        <w:rPr>
          <w:lang w:eastAsia="en-AU" w:bidi="ar-SA"/>
        </w:rPr>
        <w:t xml:space="preserve"> </w:t>
      </w:r>
      <w:r w:rsidRPr="008C0160">
        <w:rPr>
          <w:lang w:eastAsia="en-AU" w:bidi="ar-SA"/>
        </w:rPr>
        <w:t>silver acetate were significantly higher than those of sex-matched controls. Treatment-related lesions found only in the 400 mg/kg bw</w:t>
      </w:r>
      <w:r w:rsidR="004E21B3">
        <w:rPr>
          <w:lang w:eastAsia="en-AU" w:bidi="ar-SA"/>
        </w:rPr>
        <w:t>/day</w:t>
      </w:r>
      <w:r w:rsidR="00937C73">
        <w:rPr>
          <w:lang w:eastAsia="en-AU" w:bidi="ar-SA"/>
        </w:rPr>
        <w:t xml:space="preserve"> </w:t>
      </w:r>
      <w:r w:rsidRPr="008C0160">
        <w:rPr>
          <w:lang w:eastAsia="en-AU" w:bidi="ar-SA"/>
        </w:rPr>
        <w:t xml:space="preserve">group included mucosal hyperplasia of large and small intestines, and thymic atrophy or necrosis. However, a dose-related brown pigmentation of multiple organs, corresponding to microscopic, TEM and EDS findings of silver granule deposition, was found at all dose levels. The authors did not draw any conclusions regarding a NOAEL or LOAEL for silver acetate from this study, but from the results it may be concluded that a NOAEL was not identified and the LOAEL was the lowest dose </w:t>
      </w:r>
      <w:r w:rsidRPr="008C0160">
        <w:rPr>
          <w:lang w:eastAsia="en-AU" w:bidi="ar-SA"/>
        </w:rPr>
        <w:lastRenderedPageBreak/>
        <w:t>administered, 100 mg/kg bw</w:t>
      </w:r>
      <w:r w:rsidR="004E21B3">
        <w:rPr>
          <w:lang w:eastAsia="en-AU" w:bidi="ar-SA"/>
        </w:rPr>
        <w:t>/day</w:t>
      </w:r>
      <w:r w:rsidR="00937C73">
        <w:rPr>
          <w:lang w:eastAsia="en-AU" w:bidi="ar-SA"/>
        </w:rPr>
        <w:t xml:space="preserve"> </w:t>
      </w:r>
      <w:r w:rsidRPr="008C0160">
        <w:rPr>
          <w:lang w:eastAsia="en-AU" w:bidi="ar-SA"/>
        </w:rPr>
        <w:t>silver acetate, equal to 64.6 mg silver/kg bw</w:t>
      </w:r>
      <w:r w:rsidR="004E21B3">
        <w:rPr>
          <w:lang w:eastAsia="en-AU" w:bidi="ar-SA"/>
        </w:rPr>
        <w:t>/day.</w:t>
      </w:r>
      <w:r w:rsidRPr="008C0160">
        <w:rPr>
          <w:lang w:eastAsia="en-AU" w:bidi="ar-SA"/>
        </w:rPr>
        <w:t xml:space="preserve"> </w:t>
      </w:r>
    </w:p>
    <w:p w14:paraId="232D3DCE" w14:textId="77777777" w:rsidR="00866C26" w:rsidRPr="008C0160" w:rsidRDefault="00683A22" w:rsidP="0017617B">
      <w:pPr>
        <w:pStyle w:val="Heading4"/>
      </w:pPr>
      <w:r w:rsidRPr="008C0160">
        <w:t>3.3.2</w:t>
      </w:r>
      <w:r w:rsidRPr="008C0160">
        <w:tab/>
      </w:r>
      <w:r w:rsidR="00866C26" w:rsidRPr="008C0160">
        <w:t>Developmental and Reproductive Toxicology Studies</w:t>
      </w:r>
    </w:p>
    <w:p w14:paraId="19A8D4B7" w14:textId="77777777" w:rsidR="00866C26" w:rsidRPr="008C0160" w:rsidRDefault="00866C26" w:rsidP="0017617B">
      <w:pPr>
        <w:pStyle w:val="Heading5"/>
      </w:pPr>
      <w:r w:rsidRPr="008C0160">
        <w:t>Reviews</w:t>
      </w:r>
    </w:p>
    <w:p w14:paraId="7CF531E4" w14:textId="77777777" w:rsidR="00866C26" w:rsidRPr="008C0160" w:rsidRDefault="00866C26" w:rsidP="00866C26">
      <w:pPr>
        <w:rPr>
          <w:lang w:eastAsia="en-AU" w:bidi="ar-SA"/>
        </w:rPr>
      </w:pPr>
      <w:r w:rsidRPr="008C0160">
        <w:rPr>
          <w:lang w:eastAsia="en-AU" w:bidi="ar-SA"/>
        </w:rPr>
        <w:t>Oral administration of silver chloride, corresponding to 190 mg silver/kg bw/</w:t>
      </w:r>
      <w:r w:rsidR="000179A0" w:rsidRPr="008C0160">
        <w:rPr>
          <w:lang w:eastAsia="en-AU" w:bidi="ar-SA"/>
        </w:rPr>
        <w:t>d</w:t>
      </w:r>
      <w:r w:rsidR="00937C73">
        <w:rPr>
          <w:lang w:eastAsia="en-AU" w:bidi="ar-SA"/>
        </w:rPr>
        <w:t>ay</w:t>
      </w:r>
      <w:r w:rsidR="000179A0" w:rsidRPr="008C0160">
        <w:rPr>
          <w:lang w:eastAsia="en-AU" w:bidi="ar-SA"/>
        </w:rPr>
        <w:t>,</w:t>
      </w:r>
      <w:r w:rsidRPr="008C0160">
        <w:rPr>
          <w:lang w:eastAsia="en-AU" w:bidi="ar-SA"/>
        </w:rPr>
        <w:t xml:space="preserve"> to female rats from GD1-GD20 resulted in increased post-implantation loss and death of all pups within 24 hours of birth (Shavlovski </w:t>
      </w:r>
      <w:r w:rsidRPr="008C0160">
        <w:rPr>
          <w:lang w:eastAsia="en-AU"/>
        </w:rPr>
        <w:t>et al</w:t>
      </w:r>
      <w:r w:rsidRPr="008C0160">
        <w:rPr>
          <w:lang w:eastAsia="en-AU" w:bidi="ar-SA"/>
        </w:rPr>
        <w:t xml:space="preserve">. (1995) as reviewed by Hadrup and Lam (2014)). </w:t>
      </w:r>
    </w:p>
    <w:p w14:paraId="6587E79F" w14:textId="77777777" w:rsidR="00866C26" w:rsidRPr="008C0160" w:rsidRDefault="00866C26" w:rsidP="0017617B">
      <w:pPr>
        <w:pStyle w:val="Heading5"/>
      </w:pPr>
      <w:r w:rsidRPr="008C0160">
        <w:t xml:space="preserve">13-week repeat dose oral gavage study in rats </w:t>
      </w:r>
    </w:p>
    <w:p w14:paraId="29CD98E7" w14:textId="77777777" w:rsidR="00866C26" w:rsidRPr="008C0160" w:rsidRDefault="00866C26" w:rsidP="00866C26">
      <w:pPr>
        <w:rPr>
          <w:i/>
          <w:lang w:eastAsia="en-AU" w:bidi="ar-SA"/>
        </w:rPr>
      </w:pPr>
      <w:r w:rsidRPr="008C0160">
        <w:rPr>
          <w:lang w:eastAsia="en-AU" w:bidi="ar-SA"/>
        </w:rPr>
        <w:t xml:space="preserve">The 13-week repeat-dose oral gavage study </w:t>
      </w:r>
      <w:r w:rsidR="00791EE9" w:rsidRPr="008C0160">
        <w:t>(Boudreau et al. 2016)</w:t>
      </w:r>
      <w:r w:rsidRPr="008C0160">
        <w:rPr>
          <w:lang w:eastAsia="en-AU" w:bidi="ar-SA"/>
        </w:rPr>
        <w:t xml:space="preserve">, previously described under General Toxicology Studies, </w:t>
      </w:r>
      <w:r w:rsidR="0068531F" w:rsidRPr="008C0160">
        <w:rPr>
          <w:lang w:eastAsia="en-AU" w:bidi="ar-SA"/>
        </w:rPr>
        <w:t>and included</w:t>
      </w:r>
      <w:r w:rsidRPr="008C0160">
        <w:rPr>
          <w:lang w:eastAsia="en-AU" w:bidi="ar-SA"/>
        </w:rPr>
        <w:t xml:space="preserve"> evaluation of some reproductive parameters. Oestrous cycling of the female rats on the study was assessed by examination of vaginal cells collected by vaginal lavage for each of 16 consecutive days prior to scheduled termination. The left testis and caudal epididymis of male rats were collected at termination to determine sperm counts, sperm motility and sperm morphology. There were no statistically significant treatment-related effects on oestrous cycles, or in sperm motility, testis sperm count, caudal epididymal sperm count, or sperm morphology between rats treated with up to 400 mg/kg bw</w:t>
      </w:r>
      <w:r w:rsidR="00007A18">
        <w:rPr>
          <w:lang w:eastAsia="en-AU" w:bidi="ar-SA"/>
        </w:rPr>
        <w:t>/</w:t>
      </w:r>
      <w:r w:rsidRPr="008C0160">
        <w:rPr>
          <w:lang w:eastAsia="en-AU" w:bidi="ar-SA"/>
        </w:rPr>
        <w:t>d</w:t>
      </w:r>
      <w:r w:rsidR="00937C73">
        <w:rPr>
          <w:lang w:eastAsia="en-AU" w:bidi="ar-SA"/>
        </w:rPr>
        <w:t>ay</w:t>
      </w:r>
      <w:r w:rsidRPr="008C0160">
        <w:rPr>
          <w:lang w:eastAsia="en-AU" w:bidi="ar-SA"/>
        </w:rPr>
        <w:t xml:space="preserve"> silver acetate and controls.  </w:t>
      </w:r>
    </w:p>
    <w:p w14:paraId="4F6F9D19" w14:textId="77777777" w:rsidR="00866C26" w:rsidRPr="008C0160" w:rsidRDefault="00866C26" w:rsidP="0017617B">
      <w:pPr>
        <w:pStyle w:val="Heading5"/>
      </w:pPr>
      <w:r w:rsidRPr="008C0160">
        <w:t xml:space="preserve">Developmental toxicity study in rats </w:t>
      </w:r>
    </w:p>
    <w:p w14:paraId="07EAB75B" w14:textId="77777777" w:rsidR="00866C26" w:rsidRPr="008C0160" w:rsidRDefault="00866C26" w:rsidP="00866C26">
      <w:pPr>
        <w:rPr>
          <w:lang w:eastAsia="en-AU" w:bidi="ar-SA"/>
        </w:rPr>
      </w:pPr>
      <w:r w:rsidRPr="008C0160">
        <w:rPr>
          <w:lang w:eastAsia="en-AU" w:bidi="ar-SA"/>
        </w:rPr>
        <w:t>Female Sprague-Dawley rats, housed under controlled laboratory conditions, were assigned to 5 groups of 10 rats/group</w:t>
      </w:r>
      <w:r w:rsidR="00791EE9" w:rsidRPr="008C0160">
        <w:rPr>
          <w:lang w:eastAsia="en-AU" w:bidi="ar-SA"/>
        </w:rPr>
        <w:t xml:space="preserve"> </w:t>
      </w:r>
      <w:r w:rsidR="00791EE9" w:rsidRPr="008C0160">
        <w:t>(Charehsaz et al. 2016)</w:t>
      </w:r>
      <w:r w:rsidRPr="008C0160">
        <w:rPr>
          <w:lang w:eastAsia="en-AU" w:bidi="ar-SA"/>
        </w:rPr>
        <w:t xml:space="preserve">. Rats were dosed by oral gavage </w:t>
      </w:r>
      <w:r w:rsidR="00937C73">
        <w:rPr>
          <w:lang w:eastAsia="en-AU" w:bidi="ar-SA"/>
        </w:rPr>
        <w:t>f</w:t>
      </w:r>
      <w:r w:rsidRPr="008C0160">
        <w:rPr>
          <w:lang w:eastAsia="en-AU" w:bidi="ar-SA"/>
        </w:rPr>
        <w:t>rom GD 7 to GD 20, at a daily volume of 4 mL/kg bw. The control group were dosed with water. Three groups were dosed with a silver nanoparticle suspension at doses of 0.2, 2 or 20</w:t>
      </w:r>
      <w:r w:rsidR="00007A18">
        <w:rPr>
          <w:lang w:eastAsia="en-AU" w:bidi="ar-SA"/>
        </w:rPr>
        <w:t> </w:t>
      </w:r>
      <w:r w:rsidRPr="008C0160">
        <w:rPr>
          <w:lang w:eastAsia="en-AU" w:bidi="ar-SA"/>
        </w:rPr>
        <w:t>mg/kg bw</w:t>
      </w:r>
      <w:r w:rsidR="00937C73">
        <w:rPr>
          <w:lang w:eastAsia="en-AU" w:bidi="ar-SA"/>
        </w:rPr>
        <w:t>/day</w:t>
      </w:r>
      <w:r w:rsidRPr="008C0160">
        <w:rPr>
          <w:lang w:eastAsia="en-AU" w:bidi="ar-SA"/>
        </w:rPr>
        <w:t>. The fifth group was dosed with 20 mg Ag/kg bw</w:t>
      </w:r>
      <w:r w:rsidR="00937C73">
        <w:rPr>
          <w:lang w:eastAsia="en-AU" w:bidi="ar-SA"/>
        </w:rPr>
        <w:t>/day</w:t>
      </w:r>
      <w:r w:rsidRPr="008C0160">
        <w:rPr>
          <w:lang w:eastAsia="en-AU" w:bidi="ar-SA"/>
        </w:rPr>
        <w:t xml:space="preserve"> as AgNO</w:t>
      </w:r>
      <w:r w:rsidRPr="008C0160">
        <w:rPr>
          <w:vertAlign w:val="subscript"/>
          <w:lang w:eastAsia="en-AU" w:bidi="ar-SA"/>
        </w:rPr>
        <w:t>3</w:t>
      </w:r>
      <w:r w:rsidRPr="008C0160">
        <w:rPr>
          <w:lang w:eastAsia="en-AU" w:bidi="ar-SA"/>
        </w:rPr>
        <w:t xml:space="preserve">. Rats were pair-housed until GD18, when they were individually housed and monitored for parturition. Pups were counted and sexed on postnatal day (PND) 2, and dams and individual pups were then weighed and decapitated for collection of blood. Blood from pups in a litter was pooled. Brain, heart, lungs, liver, kidneys, spleen, ovaries and uterus were collected from dams, and brain, lungs, liver, kidneys, and stomachs with milk were collected from 6 to 7 pups per litter. Tissues processed for </w:t>
      </w:r>
      <w:r w:rsidR="008C0160" w:rsidRPr="008C0160">
        <w:rPr>
          <w:lang w:eastAsia="en-AU" w:bidi="ar-SA"/>
        </w:rPr>
        <w:t>histopathology</w:t>
      </w:r>
      <w:r w:rsidRPr="008C0160">
        <w:rPr>
          <w:lang w:eastAsia="en-AU" w:bidi="ar-SA"/>
        </w:rPr>
        <w:t xml:space="preserve"> were brain, lung, spleen, heart, liver, kidney, uterus, ovaries from 5 dams/group, and brain, heart, liver, lung and kidney from one pup from each of those dams. </w:t>
      </w:r>
    </w:p>
    <w:p w14:paraId="5288C76B" w14:textId="77777777" w:rsidR="00866C26" w:rsidRPr="008C0160" w:rsidRDefault="00866C26" w:rsidP="00866C26">
      <w:pPr>
        <w:rPr>
          <w:lang w:eastAsia="en-AU" w:bidi="ar-SA"/>
        </w:rPr>
      </w:pPr>
    </w:p>
    <w:p w14:paraId="645737E6" w14:textId="77777777" w:rsidR="00866C26" w:rsidRPr="008C0160" w:rsidRDefault="00866C26" w:rsidP="00866C26">
      <w:pPr>
        <w:rPr>
          <w:lang w:eastAsia="en-AU" w:bidi="ar-SA"/>
        </w:rPr>
      </w:pPr>
      <w:r w:rsidRPr="008C0160">
        <w:rPr>
          <w:lang w:eastAsia="en-AU" w:bidi="ar-SA"/>
        </w:rPr>
        <w:t>Silver in tissues and milk was determined by AAS. ALT, AST and IL-6 were measured in plasma. As markers of oxidative stress, superoxide dismutase (SOD), catalase, glutathione peroxidase (GPx</w:t>
      </w:r>
      <w:r w:rsidR="000179A0" w:rsidRPr="008C0160">
        <w:rPr>
          <w:lang w:eastAsia="en-AU" w:bidi="ar-SA"/>
        </w:rPr>
        <w:t>),</w:t>
      </w:r>
      <w:r w:rsidRPr="008C0160">
        <w:rPr>
          <w:lang w:eastAsia="en-AU" w:bidi="ar-SA"/>
        </w:rPr>
        <w:t xml:space="preserve"> and malondialdehyde were measured in lysed erythrocytes and in tissues, and plasma NO</w:t>
      </w:r>
      <w:r w:rsidRPr="008C0160">
        <w:rPr>
          <w:vertAlign w:val="subscript"/>
          <w:lang w:eastAsia="en-AU" w:bidi="ar-SA"/>
        </w:rPr>
        <w:t>2</w:t>
      </w:r>
      <w:r w:rsidRPr="008C0160">
        <w:rPr>
          <w:rFonts w:cs="Arial"/>
          <w:lang w:eastAsia="en-AU" w:bidi="ar-SA"/>
        </w:rPr>
        <w:t xml:space="preserve">̄ / </w:t>
      </w:r>
      <w:r w:rsidRPr="008C0160">
        <w:rPr>
          <w:lang w:eastAsia="en-AU" w:bidi="ar-SA"/>
        </w:rPr>
        <w:t>NO</w:t>
      </w:r>
      <w:r w:rsidRPr="008C0160">
        <w:rPr>
          <w:vertAlign w:val="subscript"/>
          <w:lang w:eastAsia="en-AU" w:bidi="ar-SA"/>
        </w:rPr>
        <w:t>3</w:t>
      </w:r>
      <w:r w:rsidRPr="008C0160">
        <w:rPr>
          <w:rFonts w:cs="Arial"/>
          <w:lang w:eastAsia="en-AU" w:bidi="ar-SA"/>
        </w:rPr>
        <w:t>̄</w:t>
      </w:r>
      <w:r w:rsidRPr="008C0160">
        <w:rPr>
          <w:lang w:eastAsia="en-AU" w:bidi="ar-SA"/>
        </w:rPr>
        <w:t xml:space="preserve"> ratios were also measured. Histopathology included immunohistochemistry for glial fibrillary acidic protein (GFAP) and neuron-specific nuclear protein (Neu-n). </w:t>
      </w:r>
    </w:p>
    <w:p w14:paraId="01085F34" w14:textId="77777777" w:rsidR="00866C26" w:rsidRPr="008C0160" w:rsidRDefault="00866C26" w:rsidP="00866C26">
      <w:pPr>
        <w:rPr>
          <w:lang w:eastAsia="en-AU" w:bidi="ar-SA"/>
        </w:rPr>
      </w:pPr>
    </w:p>
    <w:p w14:paraId="39390FE7" w14:textId="77777777" w:rsidR="00866C26" w:rsidRPr="008C0160" w:rsidRDefault="00866C26" w:rsidP="00866C26">
      <w:pPr>
        <w:rPr>
          <w:lang w:eastAsia="en-AU" w:bidi="ar-SA"/>
        </w:rPr>
      </w:pPr>
      <w:r w:rsidRPr="008C0160">
        <w:rPr>
          <w:lang w:eastAsia="en-AU" w:bidi="ar-SA"/>
        </w:rPr>
        <w:t xml:space="preserve">The results for rats treated with silver nanoparticles will not be reviewed here, because this assessment is of ionic silver. </w:t>
      </w:r>
    </w:p>
    <w:p w14:paraId="5D23EBBB" w14:textId="77777777" w:rsidR="00866C26" w:rsidRPr="008C0160" w:rsidRDefault="00866C26" w:rsidP="00866C26">
      <w:pPr>
        <w:rPr>
          <w:lang w:eastAsia="en-AU" w:bidi="ar-SA"/>
        </w:rPr>
      </w:pPr>
    </w:p>
    <w:p w14:paraId="46174FEE" w14:textId="77777777" w:rsidR="00866C26" w:rsidRPr="008C0160" w:rsidRDefault="00866C26" w:rsidP="00866C26">
      <w:pPr>
        <w:rPr>
          <w:lang w:eastAsia="en-AU" w:bidi="ar-SA"/>
        </w:rPr>
      </w:pPr>
      <w:r w:rsidRPr="008C0160">
        <w:rPr>
          <w:lang w:eastAsia="en-AU" w:bidi="ar-SA"/>
        </w:rPr>
        <w:t>Dams gavaged with AgNO</w:t>
      </w:r>
      <w:r w:rsidRPr="008C0160">
        <w:rPr>
          <w:vertAlign w:val="subscript"/>
          <w:lang w:eastAsia="en-AU" w:bidi="ar-SA"/>
        </w:rPr>
        <w:t xml:space="preserve">3 </w:t>
      </w:r>
      <w:r w:rsidRPr="008C0160">
        <w:rPr>
          <w:lang w:eastAsia="en-AU" w:bidi="ar-SA"/>
        </w:rPr>
        <w:t xml:space="preserve">showed no significant difference from controls in maternal body weight gain, organ weights, pregnancy length, number of implantations, number of </w:t>
      </w:r>
      <w:r w:rsidR="000179A0" w:rsidRPr="008C0160">
        <w:rPr>
          <w:lang w:eastAsia="en-AU" w:bidi="ar-SA"/>
        </w:rPr>
        <w:t>foetal</w:t>
      </w:r>
      <w:r w:rsidRPr="008C0160">
        <w:rPr>
          <w:lang w:eastAsia="en-AU" w:bidi="ar-SA"/>
        </w:rPr>
        <w:t xml:space="preserve"> resorptions, litter size, sex distribution or pup weights. ALT, AST and IL-6 were not significantly elevated in dams or pups, relative to controls. However, dams treated with AgNO</w:t>
      </w:r>
      <w:r w:rsidRPr="008C0160">
        <w:rPr>
          <w:vertAlign w:val="subscript"/>
          <w:lang w:eastAsia="en-AU" w:bidi="ar-SA"/>
        </w:rPr>
        <w:t xml:space="preserve">3 </w:t>
      </w:r>
      <w:r w:rsidRPr="008C0160">
        <w:rPr>
          <w:lang w:eastAsia="en-AU" w:bidi="ar-SA"/>
        </w:rPr>
        <w:t>showed a significant decrease in liver SOD and GPX, but a significant increase in brain SOD and GPx. The plasma NO</w:t>
      </w:r>
      <w:r w:rsidRPr="008C0160">
        <w:rPr>
          <w:vertAlign w:val="subscript"/>
          <w:lang w:eastAsia="en-AU" w:bidi="ar-SA"/>
        </w:rPr>
        <w:t>2</w:t>
      </w:r>
      <w:r w:rsidRPr="008C0160">
        <w:rPr>
          <w:rFonts w:cs="Arial"/>
          <w:lang w:eastAsia="en-AU" w:bidi="ar-SA"/>
        </w:rPr>
        <w:t xml:space="preserve">̄ / </w:t>
      </w:r>
      <w:r w:rsidRPr="008C0160">
        <w:rPr>
          <w:lang w:eastAsia="en-AU" w:bidi="ar-SA"/>
        </w:rPr>
        <w:t>NO</w:t>
      </w:r>
      <w:r w:rsidRPr="008C0160">
        <w:rPr>
          <w:vertAlign w:val="subscript"/>
          <w:lang w:eastAsia="en-AU" w:bidi="ar-SA"/>
        </w:rPr>
        <w:t>3</w:t>
      </w:r>
      <w:r w:rsidRPr="008C0160">
        <w:rPr>
          <w:rFonts w:cs="Arial"/>
          <w:lang w:eastAsia="en-AU" w:bidi="ar-SA"/>
        </w:rPr>
        <w:t>̄</w:t>
      </w:r>
      <w:r w:rsidRPr="008C0160">
        <w:rPr>
          <w:lang w:eastAsia="en-AU" w:bidi="ar-SA"/>
        </w:rPr>
        <w:t xml:space="preserve"> </w:t>
      </w:r>
      <w:r w:rsidR="000179A0" w:rsidRPr="008C0160">
        <w:rPr>
          <w:lang w:eastAsia="en-AU" w:bidi="ar-SA"/>
        </w:rPr>
        <w:t>of AgNO3</w:t>
      </w:r>
      <w:r w:rsidRPr="008C0160">
        <w:rPr>
          <w:lang w:eastAsia="en-AU" w:bidi="ar-SA"/>
        </w:rPr>
        <w:t xml:space="preserve">-treated dams was almost double that of controls. GPx was also significantly decreased in liver tissue, and significantly increased in </w:t>
      </w:r>
      <w:r w:rsidRPr="008C0160">
        <w:rPr>
          <w:lang w:eastAsia="en-AU" w:bidi="ar-SA"/>
        </w:rPr>
        <w:lastRenderedPageBreak/>
        <w:t>brain tissue, of pups of AgNO</w:t>
      </w:r>
      <w:r w:rsidRPr="008C0160">
        <w:rPr>
          <w:vertAlign w:val="subscript"/>
          <w:lang w:eastAsia="en-AU" w:bidi="ar-SA"/>
        </w:rPr>
        <w:t>3</w:t>
      </w:r>
      <w:r w:rsidRPr="008C0160">
        <w:rPr>
          <w:lang w:eastAsia="en-AU" w:bidi="ar-SA"/>
        </w:rPr>
        <w:t xml:space="preserve">-treated dams. Catalase and malondialdehyde were not affected in dams or pups. </w:t>
      </w:r>
    </w:p>
    <w:p w14:paraId="076245FD" w14:textId="77777777" w:rsidR="00866C26" w:rsidRPr="008C0160" w:rsidRDefault="00866C26" w:rsidP="00866C26">
      <w:pPr>
        <w:rPr>
          <w:lang w:eastAsia="en-AU" w:bidi="ar-SA"/>
        </w:rPr>
      </w:pPr>
    </w:p>
    <w:p w14:paraId="6023BD4C" w14:textId="77777777" w:rsidR="00866C26" w:rsidRPr="008C0160" w:rsidRDefault="00866C26" w:rsidP="00866C26">
      <w:pPr>
        <w:rPr>
          <w:lang w:eastAsia="en-AU" w:bidi="ar-SA"/>
        </w:rPr>
      </w:pPr>
      <w:r w:rsidRPr="008C0160">
        <w:rPr>
          <w:lang w:eastAsia="en-AU" w:bidi="ar-SA"/>
        </w:rPr>
        <w:t>Silver levels in kidney, lung, liver, brain, plasma and lysed erythrocytes of pups from dams treated with AgNO</w:t>
      </w:r>
      <w:r w:rsidRPr="008C0160">
        <w:rPr>
          <w:vertAlign w:val="subscript"/>
          <w:lang w:eastAsia="en-AU" w:bidi="ar-SA"/>
        </w:rPr>
        <w:t xml:space="preserve">3 </w:t>
      </w:r>
      <w:r w:rsidRPr="008C0160">
        <w:rPr>
          <w:lang w:eastAsia="en-AU" w:bidi="ar-SA"/>
        </w:rPr>
        <w:t xml:space="preserve">were consistently higher than those of pups of control dams, and the difference was statistically significant in lung. </w:t>
      </w:r>
    </w:p>
    <w:p w14:paraId="5621E3E6" w14:textId="77777777" w:rsidR="00866C26" w:rsidRPr="008C0160" w:rsidRDefault="00866C26" w:rsidP="00866C26">
      <w:pPr>
        <w:rPr>
          <w:lang w:eastAsia="en-AU" w:bidi="ar-SA"/>
        </w:rPr>
      </w:pPr>
    </w:p>
    <w:p w14:paraId="6D30DFD8" w14:textId="77777777" w:rsidR="00866C26" w:rsidRPr="008C0160" w:rsidRDefault="00866C26" w:rsidP="00866C26">
      <w:pPr>
        <w:rPr>
          <w:lang w:eastAsia="en-AU" w:bidi="ar-SA"/>
        </w:rPr>
      </w:pPr>
      <w:r w:rsidRPr="008C0160">
        <w:rPr>
          <w:lang w:eastAsia="en-AU" w:bidi="ar-SA"/>
        </w:rPr>
        <w:t>Histopathological findings in dams treated with AgNO</w:t>
      </w:r>
      <w:r w:rsidRPr="008C0160">
        <w:rPr>
          <w:vertAlign w:val="subscript"/>
          <w:lang w:eastAsia="en-AU" w:bidi="ar-SA"/>
        </w:rPr>
        <w:t>3</w:t>
      </w:r>
      <w:r w:rsidRPr="008C0160">
        <w:rPr>
          <w:lang w:eastAsia="en-AU" w:bidi="ar-SA"/>
        </w:rPr>
        <w:t xml:space="preserve"> included neuronal loss in the hippocampal pyramidal cells, accompanied by mild gliosis. Other histopathological findings associated with treatment were minimal hepatocellular vacuolation, minimal renal tubular necrosis with associated minimal inflammation, and minimal to mild inflammation in the lungs, with some histiocyte accumulation also observed in the lungs. There were no microscopic changes found in pups. </w:t>
      </w:r>
    </w:p>
    <w:p w14:paraId="070853E3" w14:textId="77777777" w:rsidR="00866C26" w:rsidRPr="008C0160" w:rsidRDefault="00866C26" w:rsidP="00866C26">
      <w:pPr>
        <w:rPr>
          <w:lang w:eastAsia="en-AU" w:bidi="ar-SA"/>
        </w:rPr>
      </w:pPr>
    </w:p>
    <w:p w14:paraId="6586ED06" w14:textId="77777777" w:rsidR="00866C26" w:rsidRPr="008C0160" w:rsidRDefault="00866C26" w:rsidP="00866C26">
      <w:pPr>
        <w:rPr>
          <w:lang w:eastAsia="en-AU" w:bidi="ar-SA"/>
        </w:rPr>
      </w:pPr>
      <w:r w:rsidRPr="008C0160">
        <w:rPr>
          <w:lang w:eastAsia="en-AU" w:bidi="ar-SA"/>
        </w:rPr>
        <w:t>The dose of AgNO</w:t>
      </w:r>
      <w:r w:rsidRPr="008C0160">
        <w:rPr>
          <w:vertAlign w:val="subscript"/>
          <w:lang w:eastAsia="en-AU" w:bidi="ar-SA"/>
        </w:rPr>
        <w:t xml:space="preserve">3, </w:t>
      </w:r>
      <w:r w:rsidRPr="008C0160">
        <w:rPr>
          <w:lang w:eastAsia="en-AU" w:bidi="ar-SA"/>
        </w:rPr>
        <w:t>20 mg/kg bw</w:t>
      </w:r>
      <w:r w:rsidR="00937C73">
        <w:rPr>
          <w:lang w:eastAsia="en-AU" w:bidi="ar-SA"/>
        </w:rPr>
        <w:t>/day</w:t>
      </w:r>
      <w:r w:rsidRPr="008C0160">
        <w:rPr>
          <w:lang w:eastAsia="en-AU" w:bidi="ar-SA"/>
        </w:rPr>
        <w:t xml:space="preserve">, used in this study exceeded the threshold for maternal toxicity.  It is apparent from this study that ionic silver crosses the placenta and accumulates in </w:t>
      </w:r>
      <w:r w:rsidR="000179A0" w:rsidRPr="008C0160">
        <w:rPr>
          <w:lang w:eastAsia="en-AU" w:bidi="ar-SA"/>
        </w:rPr>
        <w:t>foetal</w:t>
      </w:r>
      <w:r w:rsidRPr="008C0160">
        <w:rPr>
          <w:lang w:eastAsia="en-AU" w:bidi="ar-SA"/>
        </w:rPr>
        <w:t xml:space="preserve"> tissues. While conventional markers of developmental toxicity in </w:t>
      </w:r>
      <w:r w:rsidR="000179A0" w:rsidRPr="008C0160">
        <w:rPr>
          <w:lang w:eastAsia="en-AU" w:bidi="ar-SA"/>
        </w:rPr>
        <w:t>foetuses</w:t>
      </w:r>
      <w:r w:rsidRPr="008C0160">
        <w:rPr>
          <w:lang w:eastAsia="en-AU" w:bidi="ar-SA"/>
        </w:rPr>
        <w:t xml:space="preserve"> were unaffected, there was evidence of possible oxidative stress in </w:t>
      </w:r>
      <w:r w:rsidR="000179A0" w:rsidRPr="008C0160">
        <w:rPr>
          <w:lang w:eastAsia="en-AU" w:bidi="ar-SA"/>
        </w:rPr>
        <w:t>foetuses</w:t>
      </w:r>
      <w:r w:rsidRPr="008C0160">
        <w:rPr>
          <w:lang w:eastAsia="en-AU" w:bidi="ar-SA"/>
        </w:rPr>
        <w:t xml:space="preserve">.  </w:t>
      </w:r>
    </w:p>
    <w:p w14:paraId="043FFCEA" w14:textId="77777777" w:rsidR="00866C26" w:rsidRPr="008C0160" w:rsidRDefault="00683A22" w:rsidP="0017617B">
      <w:pPr>
        <w:pStyle w:val="Heading4"/>
      </w:pPr>
      <w:r w:rsidRPr="008C0160">
        <w:t>3.3.3</w:t>
      </w:r>
      <w:r w:rsidRPr="008C0160">
        <w:tab/>
      </w:r>
      <w:r w:rsidR="00866C26" w:rsidRPr="008C0160">
        <w:t>Other studies</w:t>
      </w:r>
    </w:p>
    <w:p w14:paraId="25D6488B" w14:textId="77777777" w:rsidR="00866C26" w:rsidRPr="008C0160" w:rsidRDefault="00866C26" w:rsidP="0017617B">
      <w:pPr>
        <w:pStyle w:val="Heading5"/>
      </w:pPr>
      <w:r w:rsidRPr="008C0160">
        <w:t xml:space="preserve">Three-month study of silver nitrate in the drinking water of male Wistar rats </w:t>
      </w:r>
    </w:p>
    <w:p w14:paraId="28A9C46E" w14:textId="77777777" w:rsidR="00866C26" w:rsidRPr="008C0160" w:rsidRDefault="00866C26" w:rsidP="00866C26">
      <w:pPr>
        <w:rPr>
          <w:lang w:eastAsia="en-AU" w:bidi="ar-SA"/>
        </w:rPr>
      </w:pPr>
      <w:r w:rsidRPr="008C0160">
        <w:rPr>
          <w:lang w:eastAsia="en-AU" w:bidi="ar-SA"/>
        </w:rPr>
        <w:t>Young male Wistar rats, of unspecified age but weighing 260-280 g prior to 2 weeks of acclimation, were maintained under standard laboratory husbandry conditions</w:t>
      </w:r>
      <w:r w:rsidR="00791EE9" w:rsidRPr="008C0160">
        <w:rPr>
          <w:lang w:eastAsia="en-AU" w:bidi="ar-SA"/>
        </w:rPr>
        <w:t xml:space="preserve"> </w:t>
      </w:r>
      <w:r w:rsidR="00791EE9" w:rsidRPr="008C0160">
        <w:t>(Gueroui and Kechrid 2016)</w:t>
      </w:r>
      <w:r w:rsidRPr="008C0160">
        <w:rPr>
          <w:lang w:eastAsia="en-AU" w:bidi="ar-SA"/>
        </w:rPr>
        <w:t>. It is not specified whether the rats were group-housed or individually housed. Rats were randomly assigned to six groups of six rats/group. Group I, fed standard diet, was the control group. Group II were supplemented with vitamin E at 400 mg/kg diet, and selenium, 1 mg/mL, in drinking water. Group III rats were administered silver nitrate, 20</w:t>
      </w:r>
      <w:r w:rsidR="00007A18">
        <w:rPr>
          <w:lang w:eastAsia="en-AU" w:bidi="ar-SA"/>
        </w:rPr>
        <w:t> </w:t>
      </w:r>
      <w:r w:rsidRPr="008C0160">
        <w:rPr>
          <w:lang w:eastAsia="en-AU" w:bidi="ar-SA"/>
        </w:rPr>
        <w:t>mg/L, in their drinking water. Group IV were administered silver nitrate, 20 mg/L, in their drinking water and dietary vitamin E at 400 mg/kg diet. Group V were given silver nitrate, 20</w:t>
      </w:r>
      <w:r w:rsidR="00007A18">
        <w:rPr>
          <w:lang w:eastAsia="en-AU" w:bidi="ar-SA"/>
        </w:rPr>
        <w:t> </w:t>
      </w:r>
      <w:r w:rsidRPr="008C0160">
        <w:rPr>
          <w:lang w:eastAsia="en-AU" w:bidi="ar-SA"/>
        </w:rPr>
        <w:t>mg/L, and selenium, 1 mg/mL, in drinking water. Group VI were given silver nitrate, vitamin E and selenium. In-life parameters measured during three months of treatment included survival, clinical observations, body weight, and food intake. At the end of the in-life phase, rats were terminated with collection of blood and brain. Blood was used for clinical pathology while the brain was weighed and then transected longitudinally, with half fixed for histopathology and half processed for determination of parameters related to oxidation and antioxidants. The parameters measured included thiobarbituric acid-reactive substances (TBARS), brain vitamin E and glutathione levels, and brain activities of superoxide dismutase, glutathione peroxidase, glutathione-S-transferase, glutathione reductase, and catalase.</w:t>
      </w:r>
    </w:p>
    <w:p w14:paraId="13E171D3" w14:textId="77777777" w:rsidR="00866C26" w:rsidRPr="008C0160" w:rsidRDefault="00866C26" w:rsidP="00866C26">
      <w:pPr>
        <w:rPr>
          <w:lang w:eastAsia="en-AU" w:bidi="ar-SA"/>
        </w:rPr>
      </w:pPr>
    </w:p>
    <w:p w14:paraId="4AD87887" w14:textId="77777777" w:rsidR="00866C26" w:rsidRPr="008C0160" w:rsidRDefault="00866C26" w:rsidP="00866C26">
      <w:pPr>
        <w:rPr>
          <w:lang w:eastAsia="en-AU" w:bidi="ar-SA"/>
        </w:rPr>
      </w:pPr>
      <w:r w:rsidRPr="008C0160">
        <w:rPr>
          <w:lang w:eastAsia="en-AU" w:bidi="ar-SA"/>
        </w:rPr>
        <w:t>All rats survived to scheduled termination, and there were no adverse clinical observations related to silver nitrate. Silver nitrate had no apparent effect on body weight gain, food intake, water consumption or brain weight (expressed relative to body weight). The water intake of the AgNO</w:t>
      </w:r>
      <w:r w:rsidRPr="008C0160">
        <w:rPr>
          <w:vertAlign w:val="subscript"/>
          <w:lang w:eastAsia="en-AU" w:bidi="ar-SA"/>
        </w:rPr>
        <w:t>3</w:t>
      </w:r>
      <w:r w:rsidRPr="008C0160">
        <w:rPr>
          <w:lang w:eastAsia="en-AU" w:bidi="ar-SA"/>
        </w:rPr>
        <w:t>+vit E+Se group (Group VI) was significantly lower than that of the AgNO</w:t>
      </w:r>
      <w:r w:rsidRPr="008C0160">
        <w:rPr>
          <w:vertAlign w:val="subscript"/>
          <w:lang w:eastAsia="en-AU" w:bidi="ar-SA"/>
        </w:rPr>
        <w:t xml:space="preserve">3 </w:t>
      </w:r>
      <w:r w:rsidRPr="008C0160">
        <w:rPr>
          <w:lang w:eastAsia="en-AU" w:bidi="ar-SA"/>
        </w:rPr>
        <w:t xml:space="preserve">group (Group III) but in biological terms the difference was small (30.05 </w:t>
      </w:r>
      <w:r w:rsidRPr="008C0160">
        <w:rPr>
          <w:rFonts w:cs="Arial"/>
          <w:lang w:eastAsia="en-AU" w:bidi="ar-SA"/>
        </w:rPr>
        <w:t>±</w:t>
      </w:r>
      <w:r w:rsidRPr="008C0160">
        <w:rPr>
          <w:lang w:eastAsia="en-AU" w:bidi="ar-SA"/>
        </w:rPr>
        <w:t xml:space="preserve">4.62 mL/rat/day versus 32.92 </w:t>
      </w:r>
      <w:r w:rsidRPr="008C0160">
        <w:rPr>
          <w:rFonts w:cs="Arial"/>
          <w:lang w:eastAsia="en-AU" w:bidi="ar-SA"/>
        </w:rPr>
        <w:t>±</w:t>
      </w:r>
      <w:r w:rsidRPr="008C0160">
        <w:rPr>
          <w:lang w:eastAsia="en-AU" w:bidi="ar-SA"/>
        </w:rPr>
        <w:t>6.46 mL/rat/day). Compared to untreated controls (Group I), rats in the AgNO</w:t>
      </w:r>
      <w:r w:rsidRPr="008C0160">
        <w:rPr>
          <w:vertAlign w:val="subscript"/>
          <w:lang w:eastAsia="en-AU" w:bidi="ar-SA"/>
        </w:rPr>
        <w:t>3</w:t>
      </w:r>
      <w:r w:rsidRPr="008C0160">
        <w:rPr>
          <w:lang w:eastAsia="en-AU" w:bidi="ar-SA"/>
        </w:rPr>
        <w:t xml:space="preserve"> group (Group III) had increases in serum cholesterol, LDH activity and lipase activity, and decreases in serum calcium, serum total protein and ALP activity. Supplementation with vitamin E and/or selenium ameliorated the effects of AgNO</w:t>
      </w:r>
      <w:r w:rsidRPr="008C0160">
        <w:rPr>
          <w:vertAlign w:val="subscript"/>
          <w:lang w:eastAsia="en-AU" w:bidi="ar-SA"/>
        </w:rPr>
        <w:t>3</w:t>
      </w:r>
      <w:r w:rsidRPr="008C0160">
        <w:rPr>
          <w:lang w:eastAsia="en-AU" w:bidi="ar-SA"/>
        </w:rPr>
        <w:t xml:space="preserve"> on ALP, total protein, LDH and cholesterol. Silver nitrate induced an increase in brain TBARS level, relative to that of controls, that was ameliorated by vitamin E or selenium. Silver nitrate decreased brain vitamin E concentration but did not affect brain glutathione concentration or activities of glutathione peroxidase, glutathione-S-transferase, glutathione reductase or catalase. Silver </w:t>
      </w:r>
      <w:r w:rsidRPr="008C0160">
        <w:rPr>
          <w:lang w:eastAsia="en-AU" w:bidi="ar-SA"/>
        </w:rPr>
        <w:lastRenderedPageBreak/>
        <w:t xml:space="preserve">nitrate was, however, associated with a significant decrease in superoxide dismutase activity. Silver nitrate was associated with some cytoplasmic vacuolation of cerebral neurons, which was ameliorated by concurrent supplementation with vitamin E or selenium.  </w:t>
      </w:r>
    </w:p>
    <w:p w14:paraId="6D94BAD1" w14:textId="77777777" w:rsidR="00866C26" w:rsidRPr="008C0160" w:rsidRDefault="00866C26" w:rsidP="00866C26">
      <w:pPr>
        <w:rPr>
          <w:lang w:eastAsia="en-AU" w:bidi="ar-SA"/>
        </w:rPr>
      </w:pPr>
    </w:p>
    <w:p w14:paraId="7DCFD3B7" w14:textId="77777777" w:rsidR="00866C26" w:rsidRPr="008C0160" w:rsidRDefault="00866C26" w:rsidP="00866C26">
      <w:pPr>
        <w:rPr>
          <w:lang w:eastAsia="en-AU" w:bidi="ar-SA"/>
        </w:rPr>
      </w:pPr>
      <w:r w:rsidRPr="008C0160">
        <w:rPr>
          <w:lang w:eastAsia="en-AU" w:bidi="ar-SA"/>
        </w:rPr>
        <w:t>Although group mean water intake data are presented in this paper, group mean body weights are not available, and therefore the intake of silver nitrate in water cannot be expressed in mg/kg bw</w:t>
      </w:r>
      <w:r w:rsidR="004E21B3">
        <w:rPr>
          <w:lang w:eastAsia="en-AU" w:bidi="ar-SA"/>
        </w:rPr>
        <w:t>/day.</w:t>
      </w:r>
      <w:r w:rsidRPr="008C0160">
        <w:rPr>
          <w:lang w:eastAsia="en-AU" w:bidi="ar-SA"/>
        </w:rPr>
        <w:t xml:space="preserve"> For this reason, this study cannot be used to identify a NOAEL or LOAEL for silver in rats.  </w:t>
      </w:r>
    </w:p>
    <w:p w14:paraId="28FA13FC" w14:textId="77777777" w:rsidR="00866C26" w:rsidRPr="008C0160" w:rsidRDefault="00683A22" w:rsidP="0017617B">
      <w:pPr>
        <w:pStyle w:val="Heading3"/>
      </w:pPr>
      <w:bookmarkStart w:id="280" w:name="_Toc467071697"/>
      <w:bookmarkStart w:id="281" w:name="_Toc472668749"/>
      <w:bookmarkStart w:id="282" w:name="_Toc476908637"/>
      <w:bookmarkStart w:id="283" w:name="_Toc478375860"/>
      <w:r w:rsidRPr="008C0160">
        <w:t>3.4</w:t>
      </w:r>
      <w:r w:rsidRPr="008C0160">
        <w:tab/>
      </w:r>
      <w:r w:rsidR="00866C26" w:rsidRPr="008C0160">
        <w:t xml:space="preserve">Human </w:t>
      </w:r>
      <w:r w:rsidR="003D0CA4" w:rsidRPr="008C0160">
        <w:t>s</w:t>
      </w:r>
      <w:r w:rsidR="00866C26" w:rsidRPr="008C0160">
        <w:t>tudies</w:t>
      </w:r>
      <w:bookmarkEnd w:id="280"/>
      <w:bookmarkEnd w:id="281"/>
      <w:bookmarkEnd w:id="282"/>
      <w:bookmarkEnd w:id="283"/>
    </w:p>
    <w:p w14:paraId="1CDD71CE" w14:textId="77777777" w:rsidR="00866C26" w:rsidRPr="008C0160" w:rsidRDefault="00866C26" w:rsidP="00866C26">
      <w:pPr>
        <w:rPr>
          <w:lang w:eastAsia="en-AU" w:bidi="ar-SA"/>
        </w:rPr>
      </w:pPr>
      <w:r w:rsidRPr="008C0160">
        <w:rPr>
          <w:lang w:eastAsia="en-AU" w:bidi="ar-SA"/>
        </w:rPr>
        <w:t xml:space="preserve">The ATSDR (1990) found no reports of human fatalities, and no studies or case reports regarding respiratory, gastrointestinal, haematological, musculoskeletal, hepatic, renal, cardiovascular, immunological, developmental reproductive, genotoxic or carcinogenic effects in humans of oral exposure to silver or silver compounds. </w:t>
      </w:r>
    </w:p>
    <w:p w14:paraId="7663BBB5" w14:textId="77777777" w:rsidR="00866C26" w:rsidRPr="008C0160" w:rsidRDefault="00866C26" w:rsidP="00866C26">
      <w:pPr>
        <w:rPr>
          <w:lang w:eastAsia="en-AU" w:bidi="ar-SA"/>
        </w:rPr>
      </w:pPr>
    </w:p>
    <w:p w14:paraId="6B2500B8" w14:textId="77777777" w:rsidR="00866C26" w:rsidRPr="008C0160" w:rsidRDefault="00866C26" w:rsidP="00866C26">
      <w:pPr>
        <w:rPr>
          <w:lang w:eastAsia="en-AU" w:bidi="ar-SA"/>
        </w:rPr>
      </w:pPr>
      <w:r w:rsidRPr="008C0160">
        <w:rPr>
          <w:lang w:eastAsia="en-AU" w:bidi="ar-SA"/>
        </w:rPr>
        <w:t xml:space="preserve">There have been a number of case reports of </w:t>
      </w:r>
      <w:r w:rsidRPr="00AB6B8B">
        <w:rPr>
          <w:lang w:eastAsia="en-AU" w:bidi="ar-SA"/>
        </w:rPr>
        <w:t>generali</w:t>
      </w:r>
      <w:r w:rsidR="00AB6B8B">
        <w:rPr>
          <w:lang w:eastAsia="en-AU" w:bidi="ar-SA"/>
        </w:rPr>
        <w:t>s</w:t>
      </w:r>
      <w:r w:rsidRPr="00AB6B8B">
        <w:rPr>
          <w:lang w:eastAsia="en-AU" w:bidi="ar-SA"/>
        </w:rPr>
        <w:t>ed</w:t>
      </w:r>
      <w:r w:rsidRPr="008C0160">
        <w:rPr>
          <w:lang w:eastAsia="en-AU" w:bidi="ar-SA"/>
        </w:rPr>
        <w:t xml:space="preserve"> argyria in individuals who have ingested metallic silver or silver compounds over months or years. Silver-containing granules are visible in the dermis on microscopic examination of biopsies. The granules are distributed throughout the dermis but are most abundant in basement membrane and elastic fibres surrounding sweat glands. The pigmentation of the skin primarily affects areas exposed to sunlight, and is attributed to photoreduction of silver chloride and/or silver phosphate in the skin. X-ray dispersive analysis shows that the granules consist of silver complexed with sulphur and/or selenium. Argyria has been reported in association with chronic intake of silver acetate, silver nitrate, and metallic silver. Quantitative data on the level of intake leading to argyria are either unavailable or unreliable, and therefore a LOAEL for argyria has not been established. </w:t>
      </w:r>
    </w:p>
    <w:p w14:paraId="05997754" w14:textId="77777777" w:rsidR="00866C26" w:rsidRPr="008C0160" w:rsidRDefault="00866C26" w:rsidP="00866C26">
      <w:pPr>
        <w:rPr>
          <w:lang w:eastAsia="en-AU" w:bidi="ar-SA"/>
        </w:rPr>
      </w:pPr>
    </w:p>
    <w:p w14:paraId="6B8374F4" w14:textId="77777777" w:rsidR="00866C26" w:rsidRPr="008C0160" w:rsidRDefault="00866C26" w:rsidP="00866C26">
      <w:pPr>
        <w:rPr>
          <w:lang w:eastAsia="en-AU" w:bidi="ar-SA"/>
        </w:rPr>
      </w:pPr>
      <w:r w:rsidRPr="008C0160">
        <w:rPr>
          <w:lang w:eastAsia="en-AU" w:bidi="ar-SA"/>
        </w:rPr>
        <w:t xml:space="preserve">The ATSDR (1990) located several reports of deposition of granules in the central nervous system, found on autopsy of argyric individuals. There was no evidence of neurotoxic effects of the granules, or of neurotoxic effects of oral exposure to silver. </w:t>
      </w:r>
    </w:p>
    <w:p w14:paraId="2D2AB19F" w14:textId="77777777" w:rsidR="00866C26" w:rsidRPr="008C0160" w:rsidRDefault="00683A22" w:rsidP="0017617B">
      <w:pPr>
        <w:pStyle w:val="Heading4"/>
      </w:pPr>
      <w:r w:rsidRPr="008C0160">
        <w:t>3.4.1</w:t>
      </w:r>
      <w:r w:rsidRPr="008C0160">
        <w:tab/>
      </w:r>
      <w:r w:rsidR="00866C26" w:rsidRPr="008C0160">
        <w:t xml:space="preserve">Case report of neurotoxicity </w:t>
      </w:r>
    </w:p>
    <w:p w14:paraId="59ECF9B3" w14:textId="77777777" w:rsidR="00866C26" w:rsidRPr="008C0160" w:rsidRDefault="00866C26" w:rsidP="00866C26">
      <w:pPr>
        <w:rPr>
          <w:lang w:eastAsia="en-AU" w:bidi="ar-SA"/>
        </w:rPr>
      </w:pPr>
      <w:r w:rsidRPr="008C0160">
        <w:rPr>
          <w:lang w:eastAsia="en-AU" w:bidi="ar-SA"/>
        </w:rPr>
        <w:t xml:space="preserve">In this case, a 75 year old retired electronic engineer was admitted to hospital with myoclonic seizures and diagnosed with corticobasal </w:t>
      </w:r>
      <w:r w:rsidR="00D30BB1" w:rsidRPr="008C0160">
        <w:rPr>
          <w:lang w:eastAsia="en-AU" w:bidi="ar-SA"/>
        </w:rPr>
        <w:t>degeneration</w:t>
      </w:r>
      <w:r w:rsidR="00D30BB1" w:rsidRPr="008C0160">
        <w:t xml:space="preserve"> (</w:t>
      </w:r>
      <w:r w:rsidR="00791EE9" w:rsidRPr="008C0160">
        <w:t>Stepien et al. 2009).</w:t>
      </w:r>
      <w:r w:rsidRPr="008C0160">
        <w:rPr>
          <w:lang w:eastAsia="en-AU" w:bidi="ar-SA"/>
        </w:rPr>
        <w:t xml:space="preserve">. The patient had a history of making ‘colloidal silver’ and had been consuming it multiple times a day for four years. A solution of silver found in his home contained 51.4 mg silver/L. The patient’s serum concentration of silver was 67.7 </w:t>
      </w:r>
      <w:r w:rsidRPr="008C0160">
        <w:rPr>
          <w:rFonts w:cs="Arial"/>
          <w:lang w:eastAsia="en-AU" w:bidi="ar-SA"/>
        </w:rPr>
        <w:t>µ</w:t>
      </w:r>
      <w:r w:rsidRPr="008C0160">
        <w:rPr>
          <w:lang w:eastAsia="en-AU" w:bidi="ar-SA"/>
        </w:rPr>
        <w:t xml:space="preserve">g/L, </w:t>
      </w:r>
      <w:r w:rsidR="0087194F">
        <w:rPr>
          <w:lang w:eastAsia="en-AU" w:bidi="ar-SA"/>
        </w:rPr>
        <w:t>or 628.3 nmol/L (reference value</w:t>
      </w:r>
      <w:r w:rsidRPr="008C0160">
        <w:rPr>
          <w:lang w:eastAsia="en-AU" w:bidi="ar-SA"/>
        </w:rPr>
        <w:t xml:space="preserve"> 2.8 nmol/L). The authors of the case report acknowledged that development of neurodegenerative disease could be coincidental</w:t>
      </w:r>
      <w:r w:rsidR="002E3FAB" w:rsidRPr="008C0160">
        <w:rPr>
          <w:lang w:eastAsia="en-AU" w:bidi="ar-SA"/>
        </w:rPr>
        <w:t>. They cited t</w:t>
      </w:r>
      <w:r w:rsidRPr="008C0160">
        <w:rPr>
          <w:lang w:eastAsia="en-AU" w:bidi="ar-SA"/>
        </w:rPr>
        <w:t>hree other case reports of patients developing neurological disorders after chronic consumption of high levels of silver</w:t>
      </w:r>
      <w:r w:rsidR="002E3FAB" w:rsidRPr="008C0160">
        <w:rPr>
          <w:lang w:eastAsia="en-AU" w:bidi="ar-SA"/>
        </w:rPr>
        <w:t>, h</w:t>
      </w:r>
      <w:r w:rsidRPr="008C0160">
        <w:rPr>
          <w:lang w:eastAsia="en-AU" w:bidi="ar-SA"/>
        </w:rPr>
        <w:t xml:space="preserve">owever only two of those cases were seizure disorders. In all the cases, silver ingestion was high and/or of very long duration.   </w:t>
      </w:r>
    </w:p>
    <w:p w14:paraId="7334392B" w14:textId="77777777" w:rsidR="00866C26" w:rsidRPr="008C0160" w:rsidRDefault="00683A22" w:rsidP="0017617B">
      <w:pPr>
        <w:pStyle w:val="Heading3"/>
      </w:pPr>
      <w:bookmarkStart w:id="284" w:name="_Toc467071698"/>
      <w:bookmarkStart w:id="285" w:name="_Toc472668750"/>
      <w:bookmarkStart w:id="286" w:name="_Toc476908638"/>
      <w:bookmarkStart w:id="287" w:name="_Toc478375861"/>
      <w:r w:rsidRPr="008C0160">
        <w:t>3.5</w:t>
      </w:r>
      <w:r w:rsidRPr="008C0160">
        <w:tab/>
      </w:r>
      <w:r w:rsidR="00866C26" w:rsidRPr="008C0160">
        <w:t>Assessments by other regulatory agencies</w:t>
      </w:r>
      <w:bookmarkEnd w:id="284"/>
      <w:bookmarkEnd w:id="285"/>
      <w:bookmarkEnd w:id="286"/>
      <w:bookmarkEnd w:id="287"/>
    </w:p>
    <w:p w14:paraId="35820B1A" w14:textId="77777777" w:rsidR="00A93D2C" w:rsidRDefault="00866C26" w:rsidP="00866C26">
      <w:pPr>
        <w:rPr>
          <w:lang w:bidi="ar-SA"/>
        </w:rPr>
      </w:pPr>
      <w:r w:rsidRPr="008C0160">
        <w:rPr>
          <w:lang w:eastAsia="en-AU" w:bidi="ar-SA"/>
        </w:rPr>
        <w:t xml:space="preserve">Silver was evaluated by JECFA in 1977 (WHO 1977) and by EFSA in 2016 (EFSA 2016), but no ADI was established by either committee, due to inadequate data. EFSA assigned to silver a specific migration limit of 0.05 mg/kg food (EFSA 2016). </w:t>
      </w:r>
    </w:p>
    <w:p w14:paraId="58F0AE40" w14:textId="77777777" w:rsidR="00A93D2C" w:rsidRDefault="00A12CB7" w:rsidP="00A12CB7">
      <w:pPr>
        <w:pStyle w:val="Heading3"/>
      </w:pPr>
      <w:bookmarkStart w:id="288" w:name="_Toc478375862"/>
      <w:r w:rsidRPr="00A12CB7">
        <w:t>3.6</w:t>
      </w:r>
      <w:r w:rsidRPr="00A12CB7">
        <w:tab/>
      </w:r>
      <w:r w:rsidR="00A93D2C" w:rsidRPr="00A12CB7">
        <w:t>Hazard assessment conclusion</w:t>
      </w:r>
      <w:bookmarkEnd w:id="288"/>
    </w:p>
    <w:p w14:paraId="2459A3DE" w14:textId="77777777" w:rsidR="00A93D2C" w:rsidRPr="008C0160" w:rsidRDefault="00A93D2C" w:rsidP="00A93D2C">
      <w:pPr>
        <w:rPr>
          <w:lang w:bidi="ar-SA"/>
        </w:rPr>
      </w:pPr>
      <w:r w:rsidRPr="008C0160">
        <w:rPr>
          <w:lang w:bidi="ar-SA"/>
        </w:rPr>
        <w:t xml:space="preserve">FSANZ assessed the use of silver ions in 2006 and no toxicological concerns were found. This hazard assessment is therefore largely limited to information more recent than 2006. </w:t>
      </w:r>
    </w:p>
    <w:p w14:paraId="1DF05497" w14:textId="77777777" w:rsidR="00A93D2C" w:rsidRPr="008C0160" w:rsidRDefault="00A93D2C" w:rsidP="00A93D2C">
      <w:pPr>
        <w:rPr>
          <w:lang w:bidi="ar-SA"/>
        </w:rPr>
      </w:pPr>
    </w:p>
    <w:p w14:paraId="27E9EFA3" w14:textId="77777777" w:rsidR="00A93D2C" w:rsidRPr="008C0160" w:rsidRDefault="00A93D2C" w:rsidP="00A93D2C">
      <w:pPr>
        <w:rPr>
          <w:lang w:eastAsia="en-AU" w:bidi="ar-SA"/>
        </w:rPr>
      </w:pPr>
      <w:r w:rsidRPr="008C0160">
        <w:rPr>
          <w:lang w:eastAsia="en-AU" w:bidi="ar-SA"/>
        </w:rPr>
        <w:t xml:space="preserve">Systemic absorption of ionic silver is low. Silver is rapidly cleared from the circulation but may be deposited in a wide range of tissues, where it is highly persistent but generally appears to be inert. Silver is primarily excreted in the faeces. </w:t>
      </w:r>
    </w:p>
    <w:p w14:paraId="549AFE54" w14:textId="77777777" w:rsidR="00A93D2C" w:rsidRPr="008C0160" w:rsidRDefault="00A93D2C" w:rsidP="00A93D2C">
      <w:pPr>
        <w:rPr>
          <w:lang w:eastAsia="en-AU" w:bidi="ar-SA"/>
        </w:rPr>
      </w:pPr>
    </w:p>
    <w:p w14:paraId="591BCC9B" w14:textId="77777777" w:rsidR="00A93D2C" w:rsidRPr="008C0160" w:rsidRDefault="00A93D2C" w:rsidP="00A93D2C">
      <w:pPr>
        <w:rPr>
          <w:lang w:eastAsia="en-AU" w:bidi="ar-SA"/>
        </w:rPr>
      </w:pPr>
      <w:r>
        <w:rPr>
          <w:lang w:eastAsia="en-AU" w:bidi="ar-SA"/>
        </w:rPr>
        <w:t>The available evidence indicates that silver is not genotoxic</w:t>
      </w:r>
      <w:r w:rsidRPr="008C0160">
        <w:rPr>
          <w:lang w:eastAsia="en-AU" w:bidi="ar-SA"/>
        </w:rPr>
        <w:t>. No studies concerning cancer in animals or humans orally exposed to silver or silver compounds were found.</w:t>
      </w:r>
      <w:r w:rsidRPr="008C0160" w:rsidDel="007F2AFE">
        <w:rPr>
          <w:lang w:eastAsia="en-AU" w:bidi="ar-SA"/>
        </w:rPr>
        <w:t xml:space="preserve"> </w:t>
      </w:r>
      <w:r w:rsidRPr="008C0160">
        <w:rPr>
          <w:lang w:eastAsia="en-AU" w:bidi="ar-SA"/>
        </w:rPr>
        <w:t xml:space="preserve">A small number of subchronic repeat-dose studies in rats were found, in which a silver salt was administered orally to one group which was compared to a negative control group and groups administered silver nanoparticles. However, silver chloride, the silver salt that is the subject of this application was not the silver salt used in any of the studies. It is not possible to extrapolate from the silver compounds used in those studies to silver chloride. Although silver crosses the placenta, no evidence of reproductive or developmental toxicity of ionic silver was observed in rat studies. </w:t>
      </w:r>
    </w:p>
    <w:p w14:paraId="1A854C53" w14:textId="77777777" w:rsidR="00A93D2C" w:rsidRPr="008C0160" w:rsidRDefault="00A93D2C" w:rsidP="00A93D2C">
      <w:pPr>
        <w:rPr>
          <w:lang w:eastAsia="en-AU" w:bidi="ar-SA"/>
        </w:rPr>
      </w:pPr>
    </w:p>
    <w:p w14:paraId="06CDC2DB" w14:textId="77777777" w:rsidR="00A93D2C" w:rsidRPr="008C0160" w:rsidRDefault="00A93D2C" w:rsidP="00A93D2C">
      <w:pPr>
        <w:rPr>
          <w:i/>
          <w:lang w:eastAsia="en-AU" w:bidi="ar-SA"/>
        </w:rPr>
      </w:pPr>
      <w:r w:rsidRPr="008C0160">
        <w:rPr>
          <w:lang w:eastAsia="en-AU" w:bidi="ar-SA"/>
        </w:rPr>
        <w:t xml:space="preserve">Ionic silver appears to be of low toxicity in human beings. The most frequently reported effect of chronic ingestion of silver is argyria, a permanent blue-grey discolouration of the skin. A LOAEL for argyria has not been established, but it is a rare condition and considered unlikely to occur as a result of consumption of wine processed with silver. </w:t>
      </w:r>
      <w:r w:rsidRPr="008C0160">
        <w:rPr>
          <w:i/>
          <w:lang w:eastAsia="en-AU" w:bidi="ar-SA"/>
        </w:rPr>
        <w:t xml:space="preserve"> </w:t>
      </w:r>
    </w:p>
    <w:p w14:paraId="1EB8EF9A" w14:textId="77777777" w:rsidR="00A93D2C" w:rsidRPr="008C0160" w:rsidRDefault="00A93D2C" w:rsidP="00A93D2C">
      <w:pPr>
        <w:rPr>
          <w:i/>
          <w:lang w:eastAsia="en-AU" w:bidi="ar-SA"/>
        </w:rPr>
      </w:pPr>
    </w:p>
    <w:p w14:paraId="37CCA895" w14:textId="77777777" w:rsidR="00A93D2C" w:rsidRPr="008C0160" w:rsidRDefault="00A93D2C" w:rsidP="00A93D2C">
      <w:pPr>
        <w:rPr>
          <w:lang w:eastAsia="en-AU" w:bidi="ar-SA"/>
        </w:rPr>
      </w:pPr>
      <w:r w:rsidRPr="008C0160">
        <w:rPr>
          <w:lang w:eastAsia="en-AU" w:bidi="ar-SA"/>
        </w:rPr>
        <w:t xml:space="preserve">No health-based guidance value for silver has been established by JECFA, on the basis of lack of data. The subchronic rat studies reviewed in this hazard assessment have been conducted since the last JECFA review of silver. The two rat studies that used the lowest dose level for silver produced different results at the only dose level used; 9 mg/kg bw/day. In neither study was silver chloride the silver salt administered, nor is it possible to extrapolate the results to silver chloride. </w:t>
      </w:r>
    </w:p>
    <w:p w14:paraId="416C3A77" w14:textId="77777777" w:rsidR="00A93D2C" w:rsidRPr="008C0160" w:rsidRDefault="00A93D2C" w:rsidP="00A93D2C">
      <w:pPr>
        <w:rPr>
          <w:lang w:eastAsia="en-AU" w:bidi="ar-SA"/>
        </w:rPr>
      </w:pPr>
    </w:p>
    <w:p w14:paraId="700BB501" w14:textId="77777777" w:rsidR="00A93D2C" w:rsidRPr="008C0160" w:rsidRDefault="00A93D2C" w:rsidP="00866C26">
      <w:pPr>
        <w:rPr>
          <w:lang w:bidi="ar-SA"/>
        </w:rPr>
      </w:pPr>
      <w:r w:rsidRPr="008C0160">
        <w:rPr>
          <w:lang w:eastAsia="en-AU" w:bidi="ar-SA"/>
        </w:rPr>
        <w:t>In conclusion, a health</w:t>
      </w:r>
      <w:r w:rsidR="00006394">
        <w:rPr>
          <w:lang w:eastAsia="en-AU" w:bidi="ar-SA"/>
        </w:rPr>
        <w:t>-</w:t>
      </w:r>
      <w:r w:rsidRPr="008C0160">
        <w:rPr>
          <w:lang w:eastAsia="en-AU" w:bidi="ar-SA"/>
        </w:rPr>
        <w:t>based guidance value for silver chloride cannot be determined due to lack of appropriate studies. However, ionic silver appears to be of low toxicity</w:t>
      </w:r>
      <w:r w:rsidR="00C04F5F">
        <w:rPr>
          <w:lang w:eastAsia="en-AU" w:bidi="ar-SA"/>
        </w:rPr>
        <w:t>.</w:t>
      </w:r>
    </w:p>
    <w:p w14:paraId="0C2BD609" w14:textId="77777777" w:rsidR="00DA09BF" w:rsidRDefault="00DA09BF" w:rsidP="00DA09BF">
      <w:pPr>
        <w:pStyle w:val="Heading2"/>
      </w:pPr>
      <w:bookmarkStart w:id="289" w:name="_Toc476908639"/>
      <w:bookmarkStart w:id="290" w:name="_Toc478375863"/>
      <w:bookmarkStart w:id="291" w:name="_Toc467071699"/>
      <w:bookmarkStart w:id="292" w:name="_Toc472668751"/>
      <w:r>
        <w:t>4</w:t>
      </w:r>
      <w:r w:rsidRPr="008C0160">
        <w:tab/>
      </w:r>
      <w:r>
        <w:t>Dietary exposure</w:t>
      </w:r>
      <w:r w:rsidRPr="008C0160">
        <w:t xml:space="preserve"> assessment</w:t>
      </w:r>
      <w:bookmarkEnd w:id="289"/>
      <w:bookmarkEnd w:id="290"/>
      <w:r w:rsidRPr="008C0160">
        <w:t xml:space="preserve"> </w:t>
      </w:r>
    </w:p>
    <w:p w14:paraId="08BED5B0" w14:textId="77777777" w:rsidR="00DA09BF" w:rsidRDefault="00DA09BF" w:rsidP="00DA09BF">
      <w:pPr>
        <w:rPr>
          <w:lang w:bidi="ar-SA"/>
        </w:rPr>
      </w:pPr>
      <w:r>
        <w:rPr>
          <w:lang w:bidi="ar-SA"/>
        </w:rPr>
        <w:t xml:space="preserve">A </w:t>
      </w:r>
      <w:r w:rsidRPr="00477DA5">
        <w:rPr>
          <w:lang w:bidi="ar-SA"/>
        </w:rPr>
        <w:t xml:space="preserve">dietary exposure assessment was </w:t>
      </w:r>
      <w:r>
        <w:rPr>
          <w:lang w:bidi="ar-SA"/>
        </w:rPr>
        <w:t xml:space="preserve">not </w:t>
      </w:r>
      <w:r w:rsidRPr="00477DA5">
        <w:rPr>
          <w:lang w:bidi="ar-SA"/>
        </w:rPr>
        <w:t xml:space="preserve">conducted because </w:t>
      </w:r>
      <w:r w:rsidR="00E31AE1">
        <w:rPr>
          <w:lang w:bidi="ar-SA"/>
        </w:rPr>
        <w:t xml:space="preserve">any </w:t>
      </w:r>
      <w:r>
        <w:rPr>
          <w:lang w:bidi="ar-SA"/>
        </w:rPr>
        <w:t xml:space="preserve">residual levels </w:t>
      </w:r>
      <w:r w:rsidR="00F70CC2">
        <w:rPr>
          <w:lang w:bidi="ar-SA"/>
        </w:rPr>
        <w:t xml:space="preserve">of silver chloride </w:t>
      </w:r>
      <w:r>
        <w:rPr>
          <w:lang w:bidi="ar-SA"/>
        </w:rPr>
        <w:t>in wine</w:t>
      </w:r>
      <w:r w:rsidRPr="00477DA5">
        <w:rPr>
          <w:lang w:bidi="ar-SA"/>
        </w:rPr>
        <w:t xml:space="preserve"> </w:t>
      </w:r>
      <w:r w:rsidR="00A93D2C">
        <w:rPr>
          <w:lang w:bidi="ar-SA"/>
        </w:rPr>
        <w:t>are expected to</w:t>
      </w:r>
      <w:r w:rsidRPr="00477DA5">
        <w:rPr>
          <w:lang w:bidi="ar-SA"/>
        </w:rPr>
        <w:t xml:space="preserve"> be negligible. </w:t>
      </w:r>
    </w:p>
    <w:p w14:paraId="1C18802E" w14:textId="77777777" w:rsidR="00DA09BF" w:rsidRDefault="00DA09BF" w:rsidP="00DA09BF">
      <w:pPr>
        <w:pStyle w:val="Heading2"/>
      </w:pPr>
      <w:bookmarkStart w:id="293" w:name="_Toc476908640"/>
      <w:bookmarkStart w:id="294" w:name="_Toc478375864"/>
      <w:r>
        <w:t>5</w:t>
      </w:r>
      <w:r w:rsidRPr="008C0160">
        <w:tab/>
      </w:r>
      <w:r>
        <w:t>Risk</w:t>
      </w:r>
      <w:r w:rsidRPr="008C0160">
        <w:t xml:space="preserve"> assessment</w:t>
      </w:r>
      <w:r>
        <w:t xml:space="preserve"> conclusion</w:t>
      </w:r>
      <w:bookmarkEnd w:id="293"/>
      <w:bookmarkEnd w:id="294"/>
    </w:p>
    <w:bookmarkEnd w:id="291"/>
    <w:bookmarkEnd w:id="292"/>
    <w:p w14:paraId="72FA23DF" w14:textId="77777777" w:rsidR="00866C26" w:rsidRDefault="002C34DB" w:rsidP="00866C26">
      <w:pPr>
        <w:rPr>
          <w:lang w:eastAsia="en-AU" w:bidi="ar-SA"/>
        </w:rPr>
      </w:pPr>
      <w:r w:rsidRPr="002C34DB">
        <w:rPr>
          <w:lang w:eastAsia="en-AU" w:bidi="ar-SA"/>
        </w:rPr>
        <w:t xml:space="preserve">The use of </w:t>
      </w:r>
      <w:r>
        <w:rPr>
          <w:lang w:eastAsia="en-AU" w:bidi="ar-SA"/>
        </w:rPr>
        <w:t>silver chloride</w:t>
      </w:r>
      <w:r w:rsidRPr="002C34DB">
        <w:rPr>
          <w:lang w:eastAsia="en-AU" w:bidi="ar-SA"/>
        </w:rPr>
        <w:t xml:space="preserve"> as a processing aid for the production of wine, as proposed in this Application, raises no public health and safety concerns.  </w:t>
      </w:r>
    </w:p>
    <w:p w14:paraId="013F26F0" w14:textId="77777777" w:rsidR="00A817CC" w:rsidRDefault="00A817CC" w:rsidP="00866C26">
      <w:pPr>
        <w:rPr>
          <w:lang w:eastAsia="en-AU" w:bidi="ar-SA"/>
        </w:rPr>
      </w:pPr>
    </w:p>
    <w:p w14:paraId="6EC581A7" w14:textId="77777777" w:rsidR="00866C26" w:rsidRPr="008C0160" w:rsidRDefault="00943496" w:rsidP="00943496">
      <w:pPr>
        <w:widowControl/>
        <w:rPr>
          <w:lang w:bidi="ar-SA"/>
        </w:rPr>
      </w:pPr>
      <w:r w:rsidRPr="008C0160">
        <w:rPr>
          <w:lang w:eastAsia="en-AU" w:bidi="ar-SA"/>
        </w:rPr>
        <w:br w:type="page"/>
      </w:r>
    </w:p>
    <w:p w14:paraId="2A0BD3EA" w14:textId="77777777" w:rsidR="00943496" w:rsidRPr="008C0160" w:rsidRDefault="00866C26" w:rsidP="0043617A">
      <w:pPr>
        <w:pStyle w:val="Heading1"/>
      </w:pPr>
      <w:bookmarkStart w:id="295" w:name="_Toc467071700"/>
      <w:bookmarkStart w:id="296" w:name="_Toc472668752"/>
      <w:bookmarkStart w:id="297" w:name="_Toc476908641"/>
      <w:bookmarkStart w:id="298" w:name="_Toc478375865"/>
      <w:r w:rsidRPr="008C0160">
        <w:lastRenderedPageBreak/>
        <w:t>References</w:t>
      </w:r>
      <w:bookmarkEnd w:id="295"/>
      <w:bookmarkEnd w:id="296"/>
      <w:bookmarkEnd w:id="297"/>
      <w:bookmarkEnd w:id="298"/>
    </w:p>
    <w:p w14:paraId="22CD7AC5" w14:textId="77777777" w:rsidR="00CA36FE" w:rsidRPr="0017617B" w:rsidRDefault="00A563F3" w:rsidP="0017617B">
      <w:pPr>
        <w:rPr>
          <w:sz w:val="24"/>
        </w:rPr>
      </w:pPr>
      <w:r w:rsidRPr="0017617B">
        <w:rPr>
          <w:b/>
          <w:sz w:val="24"/>
        </w:rPr>
        <w:t>Chitin-glucan</w:t>
      </w:r>
    </w:p>
    <w:p w14:paraId="3FEBAB56" w14:textId="77777777" w:rsidR="00943496" w:rsidRPr="0017617B" w:rsidRDefault="00943496" w:rsidP="00943496">
      <w:pPr>
        <w:rPr>
          <w:sz w:val="20"/>
          <w:szCs w:val="20"/>
        </w:rPr>
      </w:pPr>
    </w:p>
    <w:p w14:paraId="4F18DEEE" w14:textId="77777777" w:rsidR="00943496" w:rsidRPr="0017617B" w:rsidRDefault="00943496" w:rsidP="00943496">
      <w:pPr>
        <w:rPr>
          <w:sz w:val="20"/>
          <w:szCs w:val="20"/>
        </w:rPr>
      </w:pPr>
      <w:r w:rsidRPr="0017617B">
        <w:rPr>
          <w:sz w:val="20"/>
          <w:szCs w:val="20"/>
        </w:rPr>
        <w:t>Bab</w:t>
      </w:r>
      <w:r w:rsidRPr="0017617B">
        <w:rPr>
          <w:rFonts w:cs="Arial"/>
          <w:sz w:val="20"/>
          <w:szCs w:val="20"/>
        </w:rPr>
        <w:t>íč</w:t>
      </w:r>
      <w:r w:rsidRPr="0017617B">
        <w:rPr>
          <w:sz w:val="20"/>
          <w:szCs w:val="20"/>
        </w:rPr>
        <w:t xml:space="preserve">ek K, </w:t>
      </w:r>
      <w:r w:rsidRPr="0017617B">
        <w:rPr>
          <w:rFonts w:cs="Arial"/>
          <w:sz w:val="20"/>
          <w:szCs w:val="20"/>
        </w:rPr>
        <w:t>Č</w:t>
      </w:r>
      <w:r w:rsidRPr="0017617B">
        <w:rPr>
          <w:sz w:val="20"/>
          <w:szCs w:val="20"/>
        </w:rPr>
        <w:t>echov</w:t>
      </w:r>
      <w:r w:rsidRPr="0017617B">
        <w:rPr>
          <w:rFonts w:cs="Arial"/>
          <w:sz w:val="20"/>
          <w:szCs w:val="20"/>
        </w:rPr>
        <w:t>á</w:t>
      </w:r>
      <w:r w:rsidRPr="0017617B">
        <w:rPr>
          <w:sz w:val="20"/>
          <w:szCs w:val="20"/>
        </w:rPr>
        <w:t xml:space="preserve"> I, Simon RR, Harwood M and Cox DJ (2007). Toxicological assessment of a particulate yeast (1,3/1,6)-</w:t>
      </w:r>
      <w:r w:rsidR="00D83304" w:rsidRPr="0017617B">
        <w:rPr>
          <w:rFonts w:cs="Arial"/>
          <w:sz w:val="20"/>
          <w:szCs w:val="20"/>
        </w:rPr>
        <w:t>Beta</w:t>
      </w:r>
      <w:r w:rsidRPr="0017617B">
        <w:rPr>
          <w:sz w:val="20"/>
          <w:szCs w:val="20"/>
        </w:rPr>
        <w:t>-D-glucan in rats. Food and Chemical Toxicology 45: 1719-1730</w:t>
      </w:r>
    </w:p>
    <w:p w14:paraId="082D1E64" w14:textId="77777777" w:rsidR="00943496" w:rsidRPr="0017617B" w:rsidRDefault="00943496" w:rsidP="00943496">
      <w:pPr>
        <w:rPr>
          <w:sz w:val="20"/>
          <w:szCs w:val="20"/>
        </w:rPr>
      </w:pPr>
    </w:p>
    <w:p w14:paraId="45F39235" w14:textId="77777777" w:rsidR="00943496" w:rsidRPr="0017617B" w:rsidRDefault="00943496" w:rsidP="00943496">
      <w:pPr>
        <w:rPr>
          <w:sz w:val="20"/>
          <w:szCs w:val="20"/>
        </w:rPr>
      </w:pPr>
      <w:r w:rsidRPr="0017617B">
        <w:rPr>
          <w:sz w:val="20"/>
          <w:szCs w:val="20"/>
        </w:rPr>
        <w:t>Bays HE, Evans JL, Maki KC, Maquet V, Cooper R and Anderson JW (2013). Chitin-glucan fiber effects on oxidised low-density lipoprotein: a randomized controlled trial. European Journal of Clinical Nutrition 67: 2-7</w:t>
      </w:r>
    </w:p>
    <w:p w14:paraId="2C3CD7B8" w14:textId="77777777" w:rsidR="00943496" w:rsidRPr="0017617B" w:rsidRDefault="00943496" w:rsidP="00943496">
      <w:pPr>
        <w:rPr>
          <w:sz w:val="20"/>
          <w:szCs w:val="20"/>
        </w:rPr>
      </w:pPr>
    </w:p>
    <w:p w14:paraId="352C66DD" w14:textId="77777777" w:rsidR="00943496" w:rsidRDefault="00943496" w:rsidP="00943496">
      <w:pPr>
        <w:rPr>
          <w:sz w:val="20"/>
          <w:szCs w:val="20"/>
        </w:rPr>
      </w:pPr>
      <w:r w:rsidRPr="0017617B">
        <w:rPr>
          <w:sz w:val="20"/>
          <w:szCs w:val="20"/>
        </w:rPr>
        <w:t>Berecochea-Lopez A, Decord</w:t>
      </w:r>
      <w:r w:rsidRPr="0017617B">
        <w:rPr>
          <w:rFonts w:cs="Arial"/>
          <w:sz w:val="20"/>
          <w:szCs w:val="20"/>
        </w:rPr>
        <w:t>é</w:t>
      </w:r>
      <w:r w:rsidRPr="0017617B">
        <w:rPr>
          <w:sz w:val="20"/>
          <w:szCs w:val="20"/>
        </w:rPr>
        <w:t xml:space="preserve"> K, Ventura E, Godard M, Bornet A, Teiss</w:t>
      </w:r>
      <w:r w:rsidRPr="0017617B">
        <w:rPr>
          <w:rFonts w:cs="Arial"/>
          <w:sz w:val="20"/>
          <w:szCs w:val="20"/>
        </w:rPr>
        <w:t>è</w:t>
      </w:r>
      <w:r w:rsidRPr="0017617B">
        <w:rPr>
          <w:sz w:val="20"/>
          <w:szCs w:val="20"/>
        </w:rPr>
        <w:t xml:space="preserve">dre P-L, Cristol J-P and Rouanet J-M (2009). Fungal Chitin-glucan from </w:t>
      </w:r>
      <w:r w:rsidRPr="00D6552D">
        <w:rPr>
          <w:i/>
          <w:sz w:val="20"/>
          <w:szCs w:val="20"/>
        </w:rPr>
        <w:t>Aspergillus niger</w:t>
      </w:r>
      <w:r w:rsidRPr="0017617B">
        <w:rPr>
          <w:sz w:val="20"/>
          <w:szCs w:val="20"/>
        </w:rPr>
        <w:t xml:space="preserve"> efficiently reduces aortic streak accumulation in the high-fat fed hamster, an animal model of nutritionally induced atherosclerosis. Journal of Agricultural and Food Chemistry 57: 1093-1098</w:t>
      </w:r>
    </w:p>
    <w:p w14:paraId="03730EE5" w14:textId="77777777" w:rsidR="00ED07EA" w:rsidRDefault="00ED07EA" w:rsidP="00943496">
      <w:pPr>
        <w:rPr>
          <w:sz w:val="20"/>
          <w:szCs w:val="20"/>
        </w:rPr>
      </w:pPr>
    </w:p>
    <w:p w14:paraId="700F1C2A" w14:textId="77777777" w:rsidR="009968F6" w:rsidRPr="0017617B" w:rsidRDefault="009968F6" w:rsidP="009968F6">
      <w:pPr>
        <w:widowControl/>
        <w:rPr>
          <w:rFonts w:eastAsia="Calibri"/>
          <w:sz w:val="20"/>
          <w:szCs w:val="20"/>
          <w:lang w:bidi="ar-SA"/>
        </w:rPr>
      </w:pPr>
      <w:r w:rsidRPr="006A7EA0">
        <w:rPr>
          <w:rFonts w:eastAsia="Calibri"/>
          <w:sz w:val="20"/>
          <w:szCs w:val="20"/>
          <w:lang w:bidi="ar-SA"/>
        </w:rPr>
        <w:t>Bornet</w:t>
      </w:r>
      <w:r>
        <w:rPr>
          <w:rFonts w:eastAsia="Calibri"/>
          <w:sz w:val="20"/>
          <w:szCs w:val="20"/>
          <w:lang w:bidi="ar-SA"/>
        </w:rPr>
        <w:t xml:space="preserve"> A, </w:t>
      </w:r>
      <w:r w:rsidRPr="006A7EA0">
        <w:rPr>
          <w:rFonts w:eastAsia="Calibri"/>
          <w:sz w:val="20"/>
          <w:szCs w:val="20"/>
          <w:lang w:bidi="ar-SA"/>
        </w:rPr>
        <w:t>Teissedre</w:t>
      </w:r>
      <w:r>
        <w:rPr>
          <w:rFonts w:eastAsia="Calibri"/>
          <w:sz w:val="20"/>
          <w:szCs w:val="20"/>
          <w:lang w:bidi="ar-SA"/>
        </w:rPr>
        <w:t xml:space="preserve"> P (2008)</w:t>
      </w:r>
      <w:r w:rsidRPr="006A7EA0">
        <w:rPr>
          <w:rFonts w:eastAsia="Calibri"/>
          <w:sz w:val="20"/>
          <w:szCs w:val="20"/>
          <w:lang w:bidi="ar-SA"/>
        </w:rPr>
        <w:t xml:space="preserve"> </w:t>
      </w:r>
      <w:r w:rsidRPr="0017617B">
        <w:rPr>
          <w:rFonts w:eastAsia="Calibri"/>
          <w:sz w:val="20"/>
          <w:szCs w:val="20"/>
          <w:lang w:bidi="ar-SA"/>
        </w:rPr>
        <w:t>Chitosan, chitin-glucan and chitin effects on minerals (iron, lead, cadmium) and organic (</w:t>
      </w:r>
      <w:r>
        <w:rPr>
          <w:rFonts w:eastAsia="Calibri"/>
          <w:sz w:val="20"/>
          <w:szCs w:val="20"/>
          <w:lang w:bidi="ar-SA"/>
        </w:rPr>
        <w:t>o</w:t>
      </w:r>
      <w:r w:rsidRPr="0017617B">
        <w:rPr>
          <w:rFonts w:eastAsia="Calibri"/>
          <w:sz w:val="20"/>
          <w:szCs w:val="20"/>
          <w:lang w:bidi="ar-SA"/>
        </w:rPr>
        <w:t>chratoxin A) contaminants in wines. European Food Research and Technol</w:t>
      </w:r>
      <w:r w:rsidR="00D37C29">
        <w:rPr>
          <w:rFonts w:eastAsia="Calibri"/>
          <w:sz w:val="20"/>
          <w:szCs w:val="20"/>
          <w:lang w:bidi="ar-SA"/>
        </w:rPr>
        <w:t>ogy 226:681–689</w:t>
      </w:r>
      <w:r w:rsidRPr="0017617B">
        <w:rPr>
          <w:rFonts w:eastAsia="Calibri"/>
          <w:sz w:val="20"/>
          <w:szCs w:val="20"/>
          <w:lang w:bidi="ar-SA"/>
        </w:rPr>
        <w:t>· DOI: 10.1007/s00217-007-0577-0</w:t>
      </w:r>
    </w:p>
    <w:p w14:paraId="0EB86136" w14:textId="77777777" w:rsidR="009968F6" w:rsidRDefault="009968F6" w:rsidP="00943496"/>
    <w:p w14:paraId="52760219" w14:textId="77777777" w:rsidR="00ED07EA" w:rsidRPr="0017617B" w:rsidRDefault="00ED07EA" w:rsidP="00943496">
      <w:pPr>
        <w:rPr>
          <w:sz w:val="20"/>
          <w:szCs w:val="20"/>
        </w:rPr>
      </w:pPr>
      <w:r w:rsidRPr="00667ED6">
        <w:rPr>
          <w:sz w:val="20"/>
          <w:szCs w:val="20"/>
        </w:rPr>
        <w:t>EFSA (2010)</w:t>
      </w:r>
      <w:r>
        <w:t xml:space="preserve"> </w:t>
      </w:r>
      <w:hyperlink r:id="rId27" w:history="1">
        <w:r w:rsidRPr="0017617B">
          <w:rPr>
            <w:rStyle w:val="Hyperlink"/>
            <w:sz w:val="20"/>
            <w:szCs w:val="20"/>
          </w:rPr>
          <w:t>Scientific Opinion on the safety of “Chitin-Glucan” as a Novel Food ingredient</w:t>
        </w:r>
      </w:hyperlink>
      <w:r w:rsidRPr="0017617B">
        <w:rPr>
          <w:sz w:val="20"/>
          <w:szCs w:val="20"/>
        </w:rPr>
        <w:t>. EFSA Journal 2010; 8(7):1687. [17 pp.]. doi:10.2903/j.efsa.2010.1687. Available online: Accessed 30/11/2016</w:t>
      </w:r>
    </w:p>
    <w:p w14:paraId="143B5CBD" w14:textId="77777777" w:rsidR="00943496" w:rsidRPr="0017617B" w:rsidRDefault="00943496" w:rsidP="00943496">
      <w:pPr>
        <w:rPr>
          <w:sz w:val="20"/>
          <w:szCs w:val="20"/>
        </w:rPr>
      </w:pPr>
    </w:p>
    <w:p w14:paraId="44618877" w14:textId="77777777" w:rsidR="00943496" w:rsidRPr="0017617B" w:rsidRDefault="00943496" w:rsidP="00943496">
      <w:pPr>
        <w:rPr>
          <w:sz w:val="20"/>
          <w:szCs w:val="20"/>
        </w:rPr>
      </w:pPr>
      <w:r w:rsidRPr="0017617B">
        <w:rPr>
          <w:sz w:val="20"/>
          <w:szCs w:val="20"/>
        </w:rPr>
        <w:t xml:space="preserve">Jonker D, Kuper CF, Maquet V, Nollevaux G and Gautier S (2010). Subchronic (13-week) oral toxicity study in rats with fungal chitin-glucan from </w:t>
      </w:r>
      <w:r w:rsidRPr="00D6552D">
        <w:rPr>
          <w:i/>
          <w:sz w:val="20"/>
          <w:szCs w:val="20"/>
        </w:rPr>
        <w:t>Aspergillus niger</w:t>
      </w:r>
      <w:r w:rsidRPr="0017617B">
        <w:rPr>
          <w:sz w:val="20"/>
          <w:szCs w:val="20"/>
        </w:rPr>
        <w:t>. Food and Chemical Toxicology 48: 2695-2701</w:t>
      </w:r>
    </w:p>
    <w:p w14:paraId="6CBD13D8" w14:textId="77777777" w:rsidR="00943496" w:rsidRPr="0017617B" w:rsidRDefault="00943496" w:rsidP="00943496">
      <w:pPr>
        <w:rPr>
          <w:sz w:val="20"/>
          <w:szCs w:val="20"/>
        </w:rPr>
      </w:pPr>
    </w:p>
    <w:p w14:paraId="2CAF44C6" w14:textId="77777777" w:rsidR="00943496" w:rsidRPr="0017617B" w:rsidRDefault="00943496" w:rsidP="00943496">
      <w:pPr>
        <w:rPr>
          <w:sz w:val="20"/>
          <w:szCs w:val="20"/>
        </w:rPr>
      </w:pPr>
      <w:r w:rsidRPr="0017617B">
        <w:rPr>
          <w:sz w:val="20"/>
          <w:szCs w:val="20"/>
        </w:rPr>
        <w:t xml:space="preserve">Khoushab F and Yamabhai M (2010) Chitin research revisited. Marine Drugs 8: 1988-2012 </w:t>
      </w:r>
    </w:p>
    <w:p w14:paraId="5AEE2AC8" w14:textId="77777777" w:rsidR="00943496" w:rsidRPr="0017617B" w:rsidRDefault="00943496" w:rsidP="00943496">
      <w:pPr>
        <w:rPr>
          <w:sz w:val="20"/>
          <w:szCs w:val="20"/>
        </w:rPr>
      </w:pPr>
    </w:p>
    <w:p w14:paraId="7DEC261A" w14:textId="77777777" w:rsidR="00943496" w:rsidRPr="0017617B" w:rsidRDefault="00943496" w:rsidP="00943496">
      <w:pPr>
        <w:rPr>
          <w:sz w:val="20"/>
          <w:szCs w:val="20"/>
        </w:rPr>
      </w:pPr>
      <w:r w:rsidRPr="0017617B">
        <w:rPr>
          <w:sz w:val="20"/>
          <w:szCs w:val="20"/>
        </w:rPr>
        <w:t>Kim S-K, Park P-J, Yang H-P and Han, S-S (2001) Subacute toxicity of chitosan oligosaccharide in Sprague-Dawley rats. Arzneimittelforschung 51(9): 769-774</w:t>
      </w:r>
    </w:p>
    <w:p w14:paraId="677E9F6A" w14:textId="77777777" w:rsidR="00943496" w:rsidRPr="0017617B" w:rsidRDefault="00943496" w:rsidP="00943496">
      <w:pPr>
        <w:rPr>
          <w:sz w:val="20"/>
          <w:szCs w:val="20"/>
        </w:rPr>
      </w:pPr>
    </w:p>
    <w:p w14:paraId="7FB69BF7" w14:textId="77777777" w:rsidR="00943496" w:rsidRPr="0017617B" w:rsidRDefault="00943496" w:rsidP="00943496">
      <w:pPr>
        <w:rPr>
          <w:sz w:val="20"/>
          <w:szCs w:val="20"/>
        </w:rPr>
      </w:pPr>
      <w:r w:rsidRPr="0017617B">
        <w:rPr>
          <w:sz w:val="20"/>
          <w:szCs w:val="20"/>
        </w:rPr>
        <w:t xml:space="preserve">Kulev D and Negrutsa I (2015) </w:t>
      </w:r>
      <w:hyperlink r:id="rId28" w:history="1">
        <w:r w:rsidRPr="0017617B">
          <w:rPr>
            <w:rStyle w:val="Hyperlink"/>
            <w:sz w:val="20"/>
            <w:szCs w:val="20"/>
          </w:rPr>
          <w:t>Chitin-glucan complex – food additive with sorbent properties. Journal of Hygienic Engineering and Design 11: 53-56</w:t>
        </w:r>
      </w:hyperlink>
      <w:r w:rsidR="006073B3" w:rsidRPr="0017617B">
        <w:rPr>
          <w:sz w:val="20"/>
          <w:szCs w:val="20"/>
        </w:rPr>
        <w:t>. Accessed 14 Feb 2017</w:t>
      </w:r>
    </w:p>
    <w:p w14:paraId="1B8A599B" w14:textId="77777777" w:rsidR="00943496" w:rsidRPr="0017617B" w:rsidRDefault="00943496" w:rsidP="00943496">
      <w:pPr>
        <w:rPr>
          <w:sz w:val="20"/>
          <w:szCs w:val="20"/>
        </w:rPr>
      </w:pPr>
    </w:p>
    <w:p w14:paraId="259C40FD" w14:textId="77777777" w:rsidR="00943496" w:rsidRPr="0017617B" w:rsidRDefault="00943496" w:rsidP="00943496">
      <w:pPr>
        <w:rPr>
          <w:sz w:val="20"/>
          <w:szCs w:val="20"/>
        </w:rPr>
      </w:pPr>
      <w:r w:rsidRPr="0017617B">
        <w:rPr>
          <w:sz w:val="20"/>
          <w:szCs w:val="20"/>
        </w:rPr>
        <w:t xml:space="preserve">Muanprasat C and Chatsudthipong V (2016) Chitosan oligosaccharide: biological activities and potential therapeutic applications. Pharmacology and Therapeutics doi: 10.1016/j.pharmthera.2016.10.013 </w:t>
      </w:r>
    </w:p>
    <w:p w14:paraId="7675EDCB" w14:textId="77777777" w:rsidR="00943496" w:rsidRPr="0017617B" w:rsidRDefault="00943496" w:rsidP="00943496">
      <w:pPr>
        <w:rPr>
          <w:sz w:val="20"/>
          <w:szCs w:val="20"/>
        </w:rPr>
      </w:pPr>
    </w:p>
    <w:p w14:paraId="25307451" w14:textId="77777777" w:rsidR="00943496" w:rsidRPr="0017617B" w:rsidRDefault="00943496" w:rsidP="00943496">
      <w:pPr>
        <w:rPr>
          <w:sz w:val="20"/>
          <w:szCs w:val="20"/>
        </w:rPr>
      </w:pPr>
      <w:r w:rsidRPr="0017617B">
        <w:rPr>
          <w:sz w:val="20"/>
          <w:szCs w:val="20"/>
        </w:rPr>
        <w:t>Niho N, Tamura T, Toyoda K and Uneyama C (1999) A 13-week subchronic toxicity study of chitin in F344 rats. Kokuritsu Iyakuhin Shokuin Eisei Kenkyusho Hokoku 117:  129-134</w:t>
      </w:r>
    </w:p>
    <w:p w14:paraId="4EEB0CBC" w14:textId="77777777" w:rsidR="00943496" w:rsidRPr="0017617B" w:rsidRDefault="00943496" w:rsidP="00943496">
      <w:pPr>
        <w:rPr>
          <w:sz w:val="20"/>
          <w:szCs w:val="20"/>
        </w:rPr>
      </w:pPr>
    </w:p>
    <w:p w14:paraId="2A5462D0" w14:textId="77777777" w:rsidR="00943496" w:rsidRPr="0017617B" w:rsidRDefault="00943496" w:rsidP="00943496">
      <w:pPr>
        <w:rPr>
          <w:sz w:val="20"/>
          <w:szCs w:val="20"/>
        </w:rPr>
      </w:pPr>
      <w:r w:rsidRPr="0017617B">
        <w:rPr>
          <w:sz w:val="20"/>
          <w:szCs w:val="20"/>
        </w:rPr>
        <w:t>Paoletti MG, Norberto L, Damini R and Musumeci S (2007) Human gastric juice contains chitinase that can degrade chitin. Annals of Nutrition and Metabolism 51: 244-251</w:t>
      </w:r>
    </w:p>
    <w:p w14:paraId="025F893A" w14:textId="77777777" w:rsidR="00943496" w:rsidRPr="0017617B" w:rsidRDefault="00943496" w:rsidP="00943496">
      <w:pPr>
        <w:rPr>
          <w:sz w:val="20"/>
          <w:szCs w:val="20"/>
        </w:rPr>
      </w:pPr>
    </w:p>
    <w:p w14:paraId="26202A5F" w14:textId="77777777" w:rsidR="00943496" w:rsidRPr="0017617B" w:rsidRDefault="00943496" w:rsidP="00943496">
      <w:pPr>
        <w:rPr>
          <w:sz w:val="20"/>
          <w:szCs w:val="20"/>
        </w:rPr>
      </w:pPr>
      <w:r w:rsidRPr="0017617B">
        <w:rPr>
          <w:sz w:val="20"/>
          <w:szCs w:val="20"/>
        </w:rPr>
        <w:t>Qin C, Gao J, Wang L, Zeng L, and Liu Y (2006) Safety evaluation of short-term exposure to chitooligomers from enzymic preparation. Food and Chemical Toxicology 44(6): 855-861</w:t>
      </w:r>
    </w:p>
    <w:p w14:paraId="3B06501D" w14:textId="77777777" w:rsidR="00943496" w:rsidRPr="0017617B" w:rsidRDefault="00943496" w:rsidP="00943496">
      <w:pPr>
        <w:rPr>
          <w:sz w:val="20"/>
          <w:szCs w:val="20"/>
        </w:rPr>
      </w:pPr>
    </w:p>
    <w:p w14:paraId="7C3C2B98" w14:textId="77777777" w:rsidR="00943496" w:rsidRPr="0017617B" w:rsidRDefault="00943496" w:rsidP="00943496">
      <w:pPr>
        <w:rPr>
          <w:sz w:val="20"/>
          <w:szCs w:val="20"/>
        </w:rPr>
      </w:pPr>
      <w:r w:rsidRPr="0017617B">
        <w:rPr>
          <w:sz w:val="20"/>
          <w:szCs w:val="20"/>
        </w:rPr>
        <w:t>Shahlaei M and Pourhossein A (2013) Biomass of Aspergillus niger: Uses and applications. Journal of Reports in Pharmaceutical Sciences 2(1): 83-89</w:t>
      </w:r>
    </w:p>
    <w:p w14:paraId="2B6155DD" w14:textId="77777777" w:rsidR="00943496" w:rsidRPr="0017617B" w:rsidRDefault="00943496" w:rsidP="00943496">
      <w:pPr>
        <w:rPr>
          <w:sz w:val="20"/>
          <w:szCs w:val="20"/>
        </w:rPr>
      </w:pPr>
    </w:p>
    <w:p w14:paraId="5027CBA3" w14:textId="77777777" w:rsidR="00943496" w:rsidRPr="0017617B" w:rsidRDefault="00943496" w:rsidP="00943496">
      <w:pPr>
        <w:rPr>
          <w:sz w:val="20"/>
          <w:szCs w:val="20"/>
        </w:rPr>
      </w:pPr>
      <w:r w:rsidRPr="0017617B">
        <w:rPr>
          <w:sz w:val="20"/>
          <w:szCs w:val="20"/>
        </w:rPr>
        <w:t>Strobel S, Roswag A, Becker NI, Trenczek TE and Encarna</w:t>
      </w:r>
      <w:r w:rsidRPr="0017617B">
        <w:rPr>
          <w:rFonts w:cs="Arial"/>
          <w:sz w:val="20"/>
          <w:szCs w:val="20"/>
        </w:rPr>
        <w:t>çã</w:t>
      </w:r>
      <w:r w:rsidRPr="0017617B">
        <w:rPr>
          <w:sz w:val="20"/>
          <w:szCs w:val="20"/>
        </w:rPr>
        <w:t>o JA (2013) Insectivorous bats digest chitin in the stomach using acidic mammalian chitinase. PLOS One 8(9): e72770</w:t>
      </w:r>
    </w:p>
    <w:p w14:paraId="21BC0994" w14:textId="77777777" w:rsidR="00943496" w:rsidRPr="0017617B" w:rsidRDefault="00943496" w:rsidP="00943496">
      <w:pPr>
        <w:rPr>
          <w:sz w:val="20"/>
          <w:szCs w:val="20"/>
        </w:rPr>
      </w:pPr>
    </w:p>
    <w:p w14:paraId="45C832AE" w14:textId="77777777" w:rsidR="00943496" w:rsidRPr="0017617B" w:rsidRDefault="00943496" w:rsidP="00943496">
      <w:pPr>
        <w:rPr>
          <w:sz w:val="20"/>
          <w:szCs w:val="20"/>
        </w:rPr>
      </w:pPr>
      <w:r w:rsidRPr="0017617B">
        <w:rPr>
          <w:sz w:val="20"/>
          <w:szCs w:val="20"/>
        </w:rPr>
        <w:t>Swiatkiewicz S, Swiatkiewicz M, Arczewska-Wlosek A and Jozefiak D (2015) Chitosan and its oligosaccharide derivatives (chito-oligosaccharides) as feed supplements in poultry and swine nutrition. Journal of Animal Physiology and Animal Nutrition 99: 1-12</w:t>
      </w:r>
    </w:p>
    <w:p w14:paraId="2C4D14BB" w14:textId="77777777" w:rsidR="00943496" w:rsidRPr="0017617B" w:rsidRDefault="00943496" w:rsidP="00943496">
      <w:pPr>
        <w:rPr>
          <w:sz w:val="20"/>
          <w:szCs w:val="20"/>
        </w:rPr>
      </w:pPr>
    </w:p>
    <w:p w14:paraId="24210368" w14:textId="77777777" w:rsidR="00943496" w:rsidRPr="0017617B" w:rsidRDefault="00943496" w:rsidP="00943496">
      <w:pPr>
        <w:rPr>
          <w:sz w:val="20"/>
          <w:szCs w:val="20"/>
        </w:rPr>
      </w:pPr>
      <w:r w:rsidRPr="0017617B">
        <w:rPr>
          <w:sz w:val="20"/>
          <w:szCs w:val="20"/>
        </w:rPr>
        <w:lastRenderedPageBreak/>
        <w:t>Trivedi VR, Satia MC, Deschamps A, Maquet V, Shah RB, Zinzuwadia PH and Trivedi JV (2016) Single-blind, placebo contro</w:t>
      </w:r>
      <w:r w:rsidR="000C5CF2">
        <w:rPr>
          <w:sz w:val="20"/>
          <w:szCs w:val="20"/>
        </w:rPr>
        <w:t>lled randomised clinical study o</w:t>
      </w:r>
      <w:r w:rsidRPr="0017617B">
        <w:rPr>
          <w:sz w:val="20"/>
          <w:szCs w:val="20"/>
        </w:rPr>
        <w:t>f chitosan for body weight reduction. Nutrition Journal 15: 3</w:t>
      </w:r>
    </w:p>
    <w:p w14:paraId="218C6C79" w14:textId="77777777" w:rsidR="00943496" w:rsidRPr="0017617B" w:rsidRDefault="00943496" w:rsidP="00943496">
      <w:pPr>
        <w:rPr>
          <w:sz w:val="20"/>
          <w:szCs w:val="20"/>
        </w:rPr>
      </w:pPr>
    </w:p>
    <w:p w14:paraId="232A2092" w14:textId="77777777" w:rsidR="00943496" w:rsidRPr="0017617B" w:rsidRDefault="00943496" w:rsidP="00943496">
      <w:pPr>
        <w:rPr>
          <w:sz w:val="20"/>
          <w:szCs w:val="20"/>
          <w:lang w:bidi="ar-SA"/>
        </w:rPr>
      </w:pPr>
      <w:r w:rsidRPr="0017617B">
        <w:rPr>
          <w:sz w:val="20"/>
          <w:szCs w:val="20"/>
        </w:rPr>
        <w:t>Xie C, Wu X, Long C, Wang Q, Fan Z, Li S and Yin Y (2016). Chitosan oligosaccharide affects antioxidant defense capacity and placental amino acids transport in sows. BMC Veterinary Research 12: 243</w:t>
      </w:r>
      <w:r w:rsidRPr="0017617B">
        <w:rPr>
          <w:sz w:val="20"/>
          <w:szCs w:val="20"/>
        </w:rPr>
        <w:br/>
      </w:r>
    </w:p>
    <w:p w14:paraId="223046E0" w14:textId="77777777" w:rsidR="00943496" w:rsidRPr="0017617B" w:rsidRDefault="00943496" w:rsidP="0017617B">
      <w:pPr>
        <w:rPr>
          <w:sz w:val="24"/>
        </w:rPr>
      </w:pPr>
      <w:r w:rsidRPr="0017617B">
        <w:rPr>
          <w:b/>
          <w:sz w:val="24"/>
        </w:rPr>
        <w:t xml:space="preserve">PVI/PVP </w:t>
      </w:r>
      <w:r w:rsidR="00370D52" w:rsidRPr="0017617B">
        <w:rPr>
          <w:b/>
          <w:sz w:val="24"/>
        </w:rPr>
        <w:t>Co-polymers</w:t>
      </w:r>
      <w:r w:rsidRPr="0017617B">
        <w:rPr>
          <w:b/>
          <w:sz w:val="24"/>
        </w:rPr>
        <w:t xml:space="preserve"> </w:t>
      </w:r>
    </w:p>
    <w:p w14:paraId="311BBDF1" w14:textId="77777777" w:rsidR="000C5CF2" w:rsidRDefault="000C5CF2" w:rsidP="00943496">
      <w:pPr>
        <w:rPr>
          <w:sz w:val="20"/>
          <w:szCs w:val="20"/>
          <w:lang w:bidi="ar-SA"/>
        </w:rPr>
      </w:pPr>
    </w:p>
    <w:p w14:paraId="105293BB" w14:textId="77777777" w:rsidR="00C76AD6" w:rsidRDefault="00C76AD6" w:rsidP="00C76AD6">
      <w:pPr>
        <w:rPr>
          <w:sz w:val="20"/>
          <w:szCs w:val="20"/>
          <w:lang w:bidi="ar-SA"/>
        </w:rPr>
      </w:pPr>
      <w:r w:rsidRPr="0017617B">
        <w:rPr>
          <w:sz w:val="20"/>
          <w:szCs w:val="20"/>
          <w:lang w:bidi="ar-SA"/>
        </w:rPr>
        <w:t>BASF (1998) Polyvinylpyrrolidone for the pharmaceutical industry. BASF Aktiengesellschaft Fine Chemicals, D-67056 Ludwigshafen, March 1998 (4</w:t>
      </w:r>
      <w:r w:rsidRPr="0017617B">
        <w:rPr>
          <w:sz w:val="20"/>
          <w:szCs w:val="20"/>
          <w:vertAlign w:val="superscript"/>
          <w:lang w:bidi="ar-SA"/>
        </w:rPr>
        <w:t>th</w:t>
      </w:r>
      <w:r w:rsidRPr="0017617B">
        <w:rPr>
          <w:sz w:val="20"/>
          <w:szCs w:val="20"/>
          <w:lang w:bidi="ar-SA"/>
        </w:rPr>
        <w:t xml:space="preserve"> Edition)</w:t>
      </w:r>
      <w:r>
        <w:rPr>
          <w:sz w:val="20"/>
          <w:szCs w:val="20"/>
          <w:lang w:bidi="ar-SA"/>
        </w:rPr>
        <w:t xml:space="preserve">. </w:t>
      </w:r>
      <w:hyperlink r:id="rId29" w:history="1">
        <w:r w:rsidRPr="0017617B">
          <w:rPr>
            <w:rStyle w:val="Hyperlink"/>
            <w:sz w:val="20"/>
            <w:szCs w:val="20"/>
            <w:lang w:bidi="ar-SA"/>
          </w:rPr>
          <w:t>BASF (2016) Safety Data Sheet 1-Vinylimidazole</w:t>
        </w:r>
      </w:hyperlink>
      <w:r w:rsidRPr="0017617B">
        <w:rPr>
          <w:sz w:val="20"/>
          <w:szCs w:val="20"/>
          <w:lang w:bidi="ar-SA"/>
        </w:rPr>
        <w:t>. Accessed 14 Feb 2017</w:t>
      </w:r>
    </w:p>
    <w:p w14:paraId="4AFA23DB" w14:textId="77777777" w:rsidR="00C76AD6" w:rsidRPr="0017617B" w:rsidRDefault="00C76AD6" w:rsidP="00C76AD6">
      <w:pPr>
        <w:rPr>
          <w:sz w:val="20"/>
          <w:szCs w:val="20"/>
          <w:lang w:bidi="ar-SA"/>
        </w:rPr>
      </w:pPr>
    </w:p>
    <w:p w14:paraId="793E67DD" w14:textId="77777777" w:rsidR="00943496" w:rsidRPr="0017617B" w:rsidRDefault="00943496" w:rsidP="00C76AD6">
      <w:pPr>
        <w:rPr>
          <w:sz w:val="20"/>
          <w:szCs w:val="20"/>
          <w:lang w:bidi="ar-SA"/>
        </w:rPr>
      </w:pPr>
      <w:r w:rsidRPr="0017617B">
        <w:rPr>
          <w:sz w:val="20"/>
          <w:szCs w:val="20"/>
          <w:lang w:bidi="ar-SA"/>
        </w:rPr>
        <w:t>De M</w:t>
      </w:r>
      <w:r w:rsidRPr="0017617B">
        <w:rPr>
          <w:rFonts w:cs="Arial"/>
          <w:sz w:val="20"/>
          <w:szCs w:val="20"/>
          <w:lang w:bidi="ar-SA"/>
        </w:rPr>
        <w:t>é</w:t>
      </w:r>
      <w:r w:rsidRPr="0017617B">
        <w:rPr>
          <w:sz w:val="20"/>
          <w:szCs w:val="20"/>
          <w:lang w:bidi="ar-SA"/>
        </w:rPr>
        <w:t>o M, Vanelle P, Bernadini E, Laget M, Maldonado J, Jentzer O, Crozet MP</w:t>
      </w:r>
      <w:r w:rsidR="00503063">
        <w:rPr>
          <w:sz w:val="20"/>
          <w:szCs w:val="20"/>
          <w:lang w:bidi="ar-SA"/>
        </w:rPr>
        <w:t>,</w:t>
      </w:r>
      <w:r w:rsidRPr="0017617B">
        <w:rPr>
          <w:sz w:val="20"/>
          <w:szCs w:val="20"/>
          <w:lang w:bidi="ar-SA"/>
        </w:rPr>
        <w:t xml:space="preserve"> Dum</w:t>
      </w:r>
      <w:r w:rsidRPr="0017617B">
        <w:rPr>
          <w:rFonts w:cs="Arial"/>
          <w:sz w:val="20"/>
          <w:szCs w:val="20"/>
          <w:lang w:bidi="ar-SA"/>
        </w:rPr>
        <w:t>é</w:t>
      </w:r>
      <w:r w:rsidRPr="0017617B">
        <w:rPr>
          <w:sz w:val="20"/>
          <w:szCs w:val="20"/>
          <w:lang w:bidi="ar-SA"/>
        </w:rPr>
        <w:t>nil G (1992</w:t>
      </w:r>
      <w:r w:rsidR="00503063">
        <w:rPr>
          <w:sz w:val="20"/>
          <w:szCs w:val="20"/>
          <w:lang w:bidi="ar-SA"/>
        </w:rPr>
        <w:t>)</w:t>
      </w:r>
      <w:r w:rsidRPr="0017617B">
        <w:rPr>
          <w:sz w:val="20"/>
          <w:szCs w:val="20"/>
          <w:lang w:bidi="ar-SA"/>
        </w:rPr>
        <w:t xml:space="preserve"> Evaluation of the mutagenic and genotoxic activities of 48 nitroimidazoles and related imidazole derivatives by the Ames test and the SOS Chromotest. Environmental and Molecular Mutagenesis 19: 167-181</w:t>
      </w:r>
    </w:p>
    <w:p w14:paraId="6A238B49" w14:textId="77777777" w:rsidR="00943496" w:rsidRPr="0017617B" w:rsidRDefault="00943496" w:rsidP="00943496">
      <w:pPr>
        <w:rPr>
          <w:sz w:val="20"/>
          <w:szCs w:val="20"/>
          <w:lang w:bidi="ar-SA"/>
        </w:rPr>
      </w:pPr>
    </w:p>
    <w:p w14:paraId="70A34F0D" w14:textId="77777777" w:rsidR="00943496" w:rsidRDefault="00943496" w:rsidP="00943496">
      <w:pPr>
        <w:rPr>
          <w:rFonts w:cs="Arial"/>
          <w:sz w:val="20"/>
          <w:szCs w:val="20"/>
          <w:lang w:bidi="ar-SA"/>
        </w:rPr>
      </w:pPr>
      <w:r w:rsidRPr="0017617B">
        <w:rPr>
          <w:sz w:val="20"/>
          <w:szCs w:val="20"/>
          <w:lang w:bidi="ar-SA"/>
        </w:rPr>
        <w:t>Ebel K, Koehler H, Gamer AO</w:t>
      </w:r>
      <w:r w:rsidR="00503063">
        <w:rPr>
          <w:sz w:val="20"/>
          <w:szCs w:val="20"/>
          <w:lang w:bidi="ar-SA"/>
        </w:rPr>
        <w:t>,</w:t>
      </w:r>
      <w:r w:rsidRPr="0017617B">
        <w:rPr>
          <w:sz w:val="20"/>
          <w:szCs w:val="20"/>
          <w:lang w:bidi="ar-SA"/>
        </w:rPr>
        <w:t xml:space="preserve"> J</w:t>
      </w:r>
      <w:r w:rsidRPr="0017617B">
        <w:rPr>
          <w:rFonts w:cs="Arial"/>
          <w:sz w:val="20"/>
          <w:szCs w:val="20"/>
          <w:lang w:bidi="ar-SA"/>
        </w:rPr>
        <w:t>äckh (2012). Imidazole and derivatives Ullmann’s Encyclopedia of Industrial Chemistry, Wiley-VCH Verlag GmbH &amp; Co. KGaA, Weinheim</w:t>
      </w:r>
    </w:p>
    <w:p w14:paraId="441C9644" w14:textId="77777777" w:rsidR="00C76AD6" w:rsidRPr="0017617B" w:rsidRDefault="00C76AD6" w:rsidP="00943496">
      <w:pPr>
        <w:rPr>
          <w:sz w:val="20"/>
          <w:szCs w:val="20"/>
          <w:lang w:bidi="ar-SA"/>
        </w:rPr>
      </w:pPr>
    </w:p>
    <w:p w14:paraId="17BD81F4" w14:textId="77777777" w:rsidR="00C76AD6" w:rsidRPr="0017617B" w:rsidRDefault="00503063" w:rsidP="00C76AD6">
      <w:pPr>
        <w:widowControl/>
        <w:rPr>
          <w:rFonts w:eastAsia="Calibri"/>
          <w:bCs/>
          <w:sz w:val="20"/>
          <w:szCs w:val="20"/>
          <w:lang w:bidi="ar-SA"/>
        </w:rPr>
      </w:pPr>
      <w:r>
        <w:rPr>
          <w:rFonts w:eastAsia="Calibri"/>
          <w:bCs/>
          <w:sz w:val="20"/>
          <w:szCs w:val="20"/>
          <w:lang w:bidi="ar-SA"/>
        </w:rPr>
        <w:t>Enartis</w:t>
      </w:r>
      <w:r w:rsidR="00C76AD6">
        <w:rPr>
          <w:rFonts w:eastAsia="Calibri"/>
          <w:bCs/>
          <w:sz w:val="20"/>
          <w:szCs w:val="20"/>
          <w:lang w:bidi="ar-SA"/>
        </w:rPr>
        <w:t xml:space="preserve"> </w:t>
      </w:r>
      <w:r w:rsidR="00C76AD6" w:rsidRPr="0017617B">
        <w:rPr>
          <w:rFonts w:eastAsia="Calibri"/>
          <w:bCs/>
          <w:sz w:val="20"/>
          <w:szCs w:val="20"/>
          <w:lang w:bidi="ar-SA"/>
        </w:rPr>
        <w:t xml:space="preserve">Fining Agents </w:t>
      </w:r>
      <w:hyperlink r:id="rId30" w:history="1">
        <w:r w:rsidR="00C76AD6" w:rsidRPr="0017617B">
          <w:rPr>
            <w:rStyle w:val="Hyperlink"/>
            <w:rFonts w:eastAsia="Calibri"/>
            <w:bCs/>
            <w:sz w:val="20"/>
            <w:szCs w:val="20"/>
            <w:lang w:bidi="ar-SA"/>
          </w:rPr>
          <w:t>Safety Data Sheet from Enartis on STABYL PVI/PVP</w:t>
        </w:r>
      </w:hyperlink>
      <w:r w:rsidR="00C76AD6" w:rsidRPr="0017617B">
        <w:rPr>
          <w:rFonts w:eastAsia="Calibri"/>
          <w:bCs/>
          <w:sz w:val="20"/>
          <w:szCs w:val="20"/>
          <w:lang w:bidi="ar-SA"/>
        </w:rPr>
        <w:t>. Code: Stabyl PVIPVP/US Revision: n° 1, August 2015. ESSECO srl San Martino, Trecate (NO) Italy</w:t>
      </w:r>
    </w:p>
    <w:p w14:paraId="5C2F198C" w14:textId="77777777" w:rsidR="00943496" w:rsidRPr="0017617B" w:rsidRDefault="00943496" w:rsidP="00943496">
      <w:pPr>
        <w:rPr>
          <w:sz w:val="20"/>
          <w:szCs w:val="20"/>
          <w:lang w:bidi="ar-SA"/>
        </w:rPr>
      </w:pPr>
    </w:p>
    <w:p w14:paraId="15F3FAA3" w14:textId="77777777" w:rsidR="00943496" w:rsidRDefault="00943496" w:rsidP="00943496">
      <w:pPr>
        <w:rPr>
          <w:sz w:val="20"/>
          <w:szCs w:val="20"/>
          <w:lang w:bidi="ar-SA"/>
        </w:rPr>
      </w:pPr>
      <w:r w:rsidRPr="0017617B">
        <w:rPr>
          <w:sz w:val="20"/>
          <w:szCs w:val="20"/>
          <w:lang w:bidi="ar-SA"/>
        </w:rPr>
        <w:t>Haaf F, Sanner A</w:t>
      </w:r>
      <w:r w:rsidR="00503063">
        <w:rPr>
          <w:sz w:val="20"/>
          <w:szCs w:val="20"/>
          <w:lang w:bidi="ar-SA"/>
        </w:rPr>
        <w:t>,</w:t>
      </w:r>
      <w:r w:rsidRPr="0017617B">
        <w:rPr>
          <w:sz w:val="20"/>
          <w:szCs w:val="20"/>
          <w:lang w:bidi="ar-SA"/>
        </w:rPr>
        <w:t xml:space="preserve"> Straub F (1985) Polymers of N-vinylpyrrolidone: Synthesis, characterization and uses. Polymer Journal 17(1): 143-152</w:t>
      </w:r>
    </w:p>
    <w:p w14:paraId="4BE2EC79" w14:textId="77777777" w:rsidR="005313B3" w:rsidRDefault="005313B3" w:rsidP="005313B3">
      <w:pPr>
        <w:widowControl/>
        <w:rPr>
          <w:sz w:val="20"/>
          <w:szCs w:val="20"/>
          <w:lang w:bidi="ar-SA"/>
        </w:rPr>
      </w:pPr>
    </w:p>
    <w:p w14:paraId="5B96ACB5" w14:textId="77777777" w:rsidR="005313B3" w:rsidRPr="008C0160" w:rsidRDefault="00D75CA5" w:rsidP="005313B3">
      <w:pPr>
        <w:widowControl/>
        <w:rPr>
          <w:sz w:val="20"/>
          <w:szCs w:val="20"/>
          <w:lang w:bidi="ar-SA"/>
        </w:rPr>
      </w:pPr>
      <w:r>
        <w:rPr>
          <w:sz w:val="20"/>
          <w:szCs w:val="20"/>
          <w:lang w:bidi="ar-SA"/>
        </w:rPr>
        <w:t>Mattivi</w:t>
      </w:r>
      <w:r w:rsidRPr="0017617B">
        <w:rPr>
          <w:sz w:val="20"/>
          <w:szCs w:val="20"/>
          <w:lang w:bidi="ar-SA"/>
        </w:rPr>
        <w:t xml:space="preserve"> </w:t>
      </w:r>
      <w:r w:rsidR="005313B3" w:rsidRPr="0017617B">
        <w:rPr>
          <w:sz w:val="20"/>
          <w:szCs w:val="20"/>
          <w:lang w:bidi="ar-SA"/>
        </w:rPr>
        <w:t>F</w:t>
      </w:r>
      <w:r>
        <w:rPr>
          <w:sz w:val="20"/>
          <w:szCs w:val="20"/>
          <w:lang w:bidi="ar-SA"/>
        </w:rPr>
        <w:t>,</w:t>
      </w:r>
      <w:r w:rsidR="005313B3" w:rsidRPr="0017617B">
        <w:rPr>
          <w:sz w:val="20"/>
          <w:szCs w:val="20"/>
          <w:lang w:bidi="ar-SA"/>
        </w:rPr>
        <w:t xml:space="preserve"> </w:t>
      </w:r>
      <w:r w:rsidRPr="0017617B">
        <w:rPr>
          <w:sz w:val="20"/>
          <w:szCs w:val="20"/>
          <w:lang w:bidi="ar-SA"/>
        </w:rPr>
        <w:t>V</w:t>
      </w:r>
      <w:r>
        <w:rPr>
          <w:sz w:val="20"/>
          <w:szCs w:val="20"/>
          <w:lang w:bidi="ar-SA"/>
        </w:rPr>
        <w:t xml:space="preserve">ersini </w:t>
      </w:r>
      <w:r w:rsidR="00503063">
        <w:rPr>
          <w:sz w:val="20"/>
          <w:szCs w:val="20"/>
          <w:lang w:bidi="ar-SA"/>
        </w:rPr>
        <w:t>G</w:t>
      </w:r>
      <w:r>
        <w:rPr>
          <w:sz w:val="20"/>
          <w:szCs w:val="20"/>
          <w:lang w:bidi="ar-SA"/>
        </w:rPr>
        <w:t>,</w:t>
      </w:r>
      <w:r w:rsidR="005313B3" w:rsidRPr="0017617B">
        <w:rPr>
          <w:sz w:val="20"/>
          <w:szCs w:val="20"/>
          <w:lang w:bidi="ar-SA"/>
        </w:rPr>
        <w:t xml:space="preserve"> N</w:t>
      </w:r>
      <w:r>
        <w:rPr>
          <w:sz w:val="20"/>
          <w:szCs w:val="20"/>
          <w:lang w:bidi="ar-SA"/>
        </w:rPr>
        <w:t>icolini</w:t>
      </w:r>
      <w:r w:rsidR="00503063">
        <w:rPr>
          <w:sz w:val="20"/>
          <w:szCs w:val="20"/>
          <w:lang w:bidi="ar-SA"/>
        </w:rPr>
        <w:t xml:space="preserve"> G</w:t>
      </w:r>
      <w:r w:rsidR="005313B3" w:rsidRPr="0017617B">
        <w:rPr>
          <w:sz w:val="20"/>
          <w:szCs w:val="20"/>
          <w:lang w:bidi="ar-SA"/>
        </w:rPr>
        <w:t xml:space="preserve"> </w:t>
      </w:r>
      <w:r w:rsidR="005313B3">
        <w:rPr>
          <w:sz w:val="20"/>
          <w:szCs w:val="20"/>
          <w:lang w:bidi="ar-SA"/>
        </w:rPr>
        <w:t>(</w:t>
      </w:r>
      <w:r w:rsidR="005313B3" w:rsidRPr="0017617B">
        <w:rPr>
          <w:sz w:val="20"/>
          <w:szCs w:val="20"/>
          <w:lang w:bidi="ar-SA"/>
        </w:rPr>
        <w:t>2000</w:t>
      </w:r>
      <w:r w:rsidR="005313B3">
        <w:rPr>
          <w:sz w:val="20"/>
          <w:szCs w:val="20"/>
          <w:lang w:bidi="ar-SA"/>
        </w:rPr>
        <w:t>)</w:t>
      </w:r>
      <w:r w:rsidR="005313B3" w:rsidRPr="0017617B">
        <w:rPr>
          <w:sz w:val="20"/>
          <w:szCs w:val="20"/>
          <w:lang w:bidi="ar-SA"/>
        </w:rPr>
        <w:t xml:space="preserve"> Interesting side-effects of the use of a PVI-PVP copolymer for removing </w:t>
      </w:r>
      <w:r w:rsidR="005313B3" w:rsidRPr="0017617B" w:rsidDel="00DC323C">
        <w:rPr>
          <w:sz w:val="20"/>
          <w:szCs w:val="20"/>
          <w:lang w:bidi="ar-SA"/>
        </w:rPr>
        <w:t>heavy metals</w:t>
      </w:r>
      <w:r w:rsidR="005313B3" w:rsidRPr="0017617B">
        <w:rPr>
          <w:sz w:val="20"/>
          <w:szCs w:val="20"/>
          <w:lang w:bidi="ar-SA"/>
        </w:rPr>
        <w:t xml:space="preserve"> in white and red wines on polyphenols and colour characteristics. Vitic. Enol. Sci. 55, 73-79</w:t>
      </w:r>
    </w:p>
    <w:p w14:paraId="3E6C71EC" w14:textId="77777777" w:rsidR="00C76AD6" w:rsidRPr="0017617B" w:rsidRDefault="00C76AD6" w:rsidP="00943496">
      <w:pPr>
        <w:rPr>
          <w:sz w:val="20"/>
          <w:szCs w:val="20"/>
          <w:lang w:bidi="ar-SA"/>
        </w:rPr>
      </w:pPr>
    </w:p>
    <w:p w14:paraId="615B403A" w14:textId="77777777" w:rsidR="00C76AD6" w:rsidRPr="0017617B" w:rsidRDefault="00D75CA5" w:rsidP="00C76AD6">
      <w:pPr>
        <w:widowControl/>
        <w:rPr>
          <w:rFonts w:eastAsia="Calibri"/>
          <w:bCs/>
          <w:sz w:val="20"/>
          <w:szCs w:val="20"/>
          <w:lang w:bidi="ar-SA"/>
        </w:rPr>
      </w:pPr>
      <w:r w:rsidRPr="00D75CA5">
        <w:rPr>
          <w:rFonts w:eastAsia="Calibri"/>
          <w:bCs/>
          <w:sz w:val="20"/>
          <w:szCs w:val="20"/>
          <w:lang w:bidi="ar-SA"/>
        </w:rPr>
        <w:t>Mira H, Leite P, Catarino S, Riacrdo-Da-</w:t>
      </w:r>
      <w:r>
        <w:rPr>
          <w:rFonts w:eastAsia="Calibri"/>
          <w:bCs/>
          <w:sz w:val="20"/>
          <w:szCs w:val="20"/>
          <w:lang w:bidi="ar-SA"/>
        </w:rPr>
        <w:t>Silva J. M, Curvelo-Garcia A. S</w:t>
      </w:r>
      <w:r w:rsidRPr="00D75CA5">
        <w:rPr>
          <w:rFonts w:eastAsia="Calibri"/>
          <w:bCs/>
          <w:sz w:val="20"/>
          <w:szCs w:val="20"/>
          <w:lang w:bidi="ar-SA"/>
        </w:rPr>
        <w:t>.</w:t>
      </w:r>
      <w:r w:rsidR="009A7EE3">
        <w:rPr>
          <w:rFonts w:eastAsia="Calibri"/>
          <w:bCs/>
          <w:sz w:val="20"/>
          <w:szCs w:val="20"/>
          <w:lang w:bidi="ar-SA"/>
        </w:rPr>
        <w:t xml:space="preserve"> 2007</w:t>
      </w:r>
      <w:r w:rsidRPr="00D75CA5">
        <w:rPr>
          <w:rFonts w:eastAsia="Calibri"/>
          <w:bCs/>
          <w:sz w:val="20"/>
          <w:szCs w:val="20"/>
          <w:lang w:bidi="ar-SA"/>
        </w:rPr>
        <w:t xml:space="preserve"> </w:t>
      </w:r>
      <w:r w:rsidR="00C76AD6" w:rsidRPr="0017617B">
        <w:rPr>
          <w:rFonts w:eastAsia="Calibri"/>
          <w:bCs/>
          <w:sz w:val="20"/>
          <w:szCs w:val="20"/>
          <w:lang w:bidi="ar-SA"/>
        </w:rPr>
        <w:t>Metal reduction in wine using PVI-PVP copolymer and its effects on chemical</w:t>
      </w:r>
      <w:r w:rsidR="00C76AD6">
        <w:rPr>
          <w:rFonts w:eastAsia="Calibri"/>
          <w:bCs/>
          <w:sz w:val="20"/>
          <w:szCs w:val="20"/>
          <w:lang w:bidi="ar-SA"/>
        </w:rPr>
        <w:t xml:space="preserve"> a</w:t>
      </w:r>
      <w:r w:rsidR="00C76AD6" w:rsidRPr="0017617B">
        <w:rPr>
          <w:rFonts w:eastAsia="Calibri"/>
          <w:bCs/>
          <w:sz w:val="20"/>
          <w:szCs w:val="20"/>
          <w:lang w:bidi="ar-SA"/>
        </w:rPr>
        <w:t>nd sensory characters. Escola Superior Agrária de Santarém</w:t>
      </w:r>
      <w:r w:rsidR="00503063">
        <w:rPr>
          <w:rFonts w:eastAsia="Calibri"/>
          <w:bCs/>
          <w:sz w:val="20"/>
          <w:szCs w:val="20"/>
          <w:lang w:bidi="ar-SA"/>
        </w:rPr>
        <w:t>, Santarém, Portugal,</w:t>
      </w:r>
      <w:r w:rsidR="00C76AD6" w:rsidRPr="0017617B">
        <w:rPr>
          <w:rFonts w:eastAsia="Calibri"/>
          <w:bCs/>
          <w:sz w:val="20"/>
          <w:szCs w:val="20"/>
          <w:lang w:bidi="ar-SA"/>
        </w:rPr>
        <w:t xml:space="preserve"> Universidade Técnica de Lisboa, Instituto Superior de Agronomia, Laboratório Ferreira Lapa (Sector de Enol</w:t>
      </w:r>
      <w:r w:rsidR="00503063">
        <w:rPr>
          <w:rFonts w:eastAsia="Calibri"/>
          <w:bCs/>
          <w:sz w:val="20"/>
          <w:szCs w:val="20"/>
          <w:lang w:bidi="ar-SA"/>
        </w:rPr>
        <w:t>ogia), Lisboa, Portugal INIAP,</w:t>
      </w:r>
      <w:r w:rsidR="00C76AD6" w:rsidRPr="0017617B">
        <w:rPr>
          <w:rFonts w:eastAsia="Calibri"/>
          <w:bCs/>
          <w:sz w:val="20"/>
          <w:szCs w:val="20"/>
          <w:lang w:bidi="ar-SA"/>
        </w:rPr>
        <w:t xml:space="preserve"> Estação Vitivinícola Nacional, Quinta da Almoínha, Dois Portos, Portugal </w:t>
      </w:r>
    </w:p>
    <w:p w14:paraId="04BBD494" w14:textId="77777777" w:rsidR="00943496" w:rsidRPr="0017617B" w:rsidRDefault="00943496" w:rsidP="00943496">
      <w:pPr>
        <w:rPr>
          <w:sz w:val="20"/>
          <w:szCs w:val="20"/>
          <w:lang w:bidi="ar-SA"/>
        </w:rPr>
      </w:pPr>
    </w:p>
    <w:p w14:paraId="34D6EDA2" w14:textId="77777777" w:rsidR="00943496" w:rsidRPr="0017617B" w:rsidRDefault="00943496" w:rsidP="00943496">
      <w:pPr>
        <w:rPr>
          <w:sz w:val="20"/>
          <w:szCs w:val="20"/>
          <w:lang w:bidi="ar-SA"/>
        </w:rPr>
      </w:pPr>
      <w:r w:rsidRPr="0017617B">
        <w:rPr>
          <w:sz w:val="20"/>
          <w:szCs w:val="20"/>
          <w:lang w:bidi="ar-SA"/>
        </w:rPr>
        <w:t>Schubert M and Glomb MA (2010) Analysis and chemistry of migrants from wine fining polymers. Journal of Agricultural and Food Chemistry 58: 8300-8304</w:t>
      </w:r>
    </w:p>
    <w:p w14:paraId="34673EB6" w14:textId="77777777" w:rsidR="00943496" w:rsidRPr="0017617B" w:rsidRDefault="00943496" w:rsidP="00943496">
      <w:pPr>
        <w:rPr>
          <w:sz w:val="20"/>
          <w:szCs w:val="20"/>
          <w:lang w:bidi="ar-SA"/>
        </w:rPr>
      </w:pPr>
    </w:p>
    <w:p w14:paraId="77DDA44E" w14:textId="77777777" w:rsidR="00943496" w:rsidRPr="0017617B" w:rsidRDefault="00943496" w:rsidP="00943496">
      <w:pPr>
        <w:rPr>
          <w:sz w:val="20"/>
          <w:szCs w:val="20"/>
          <w:lang w:bidi="ar-SA"/>
        </w:rPr>
      </w:pPr>
      <w:r w:rsidRPr="0017617B">
        <w:rPr>
          <w:sz w:val="20"/>
          <w:szCs w:val="20"/>
          <w:lang w:bidi="ar-SA"/>
        </w:rPr>
        <w:t xml:space="preserve">World Health Organization (1987) Evaluation of certain food additives and contaminants. Thirtieth report of the Joint FAO/WHO Expert Committee on Food Additives. World Health Organization Technical Report Series 751 </w:t>
      </w:r>
    </w:p>
    <w:p w14:paraId="0CF53C86" w14:textId="77777777" w:rsidR="00035403" w:rsidRPr="0017617B" w:rsidRDefault="00035403" w:rsidP="007E45EB">
      <w:pPr>
        <w:widowControl/>
        <w:rPr>
          <w:sz w:val="20"/>
          <w:szCs w:val="20"/>
        </w:rPr>
      </w:pPr>
    </w:p>
    <w:p w14:paraId="371FA1A5" w14:textId="77777777" w:rsidR="00943496" w:rsidRPr="0017617B" w:rsidRDefault="00943496" w:rsidP="0017617B">
      <w:pPr>
        <w:rPr>
          <w:sz w:val="24"/>
        </w:rPr>
      </w:pPr>
      <w:r w:rsidRPr="0017617B" w:rsidDel="007D14A1">
        <w:rPr>
          <w:b/>
          <w:sz w:val="24"/>
        </w:rPr>
        <w:t xml:space="preserve">Ammonium </w:t>
      </w:r>
      <w:r w:rsidR="007D14A1">
        <w:rPr>
          <w:b/>
          <w:sz w:val="24"/>
        </w:rPr>
        <w:t>bisulphite</w:t>
      </w:r>
    </w:p>
    <w:p w14:paraId="5388FCEC" w14:textId="77777777" w:rsidR="000C5CF2" w:rsidRDefault="000C5CF2" w:rsidP="00943496">
      <w:pPr>
        <w:rPr>
          <w:sz w:val="20"/>
          <w:szCs w:val="20"/>
          <w:lang w:bidi="ar-SA"/>
        </w:rPr>
      </w:pPr>
    </w:p>
    <w:p w14:paraId="495BDC99" w14:textId="77777777" w:rsidR="00C76AD6" w:rsidRDefault="00C76AD6" w:rsidP="00C76AD6">
      <w:pPr>
        <w:widowControl/>
        <w:rPr>
          <w:sz w:val="20"/>
          <w:szCs w:val="20"/>
          <w:lang w:bidi="ar-SA"/>
        </w:rPr>
      </w:pPr>
      <w:r w:rsidRPr="0017617B">
        <w:rPr>
          <w:sz w:val="20"/>
          <w:szCs w:val="20"/>
          <w:lang w:bidi="ar-SA"/>
        </w:rPr>
        <w:t xml:space="preserve">British Columbia Amateur Winemakers Association. </w:t>
      </w:r>
      <w:hyperlink r:id="rId31" w:history="1">
        <w:r w:rsidRPr="0017617B">
          <w:rPr>
            <w:rStyle w:val="Hyperlink"/>
            <w:sz w:val="20"/>
            <w:szCs w:val="20"/>
            <w:lang w:bidi="ar-SA"/>
          </w:rPr>
          <w:t>The Use of Sulphur Dioxide (SO</w:t>
        </w:r>
        <w:r w:rsidRPr="009D382D">
          <w:rPr>
            <w:rStyle w:val="Hyperlink"/>
            <w:sz w:val="20"/>
            <w:szCs w:val="20"/>
            <w:vertAlign w:val="subscript"/>
            <w:lang w:bidi="ar-SA"/>
          </w:rPr>
          <w:t>2</w:t>
        </w:r>
        <w:r w:rsidRPr="0017617B">
          <w:rPr>
            <w:rStyle w:val="Hyperlink"/>
            <w:sz w:val="20"/>
            <w:szCs w:val="20"/>
            <w:lang w:bidi="ar-SA"/>
          </w:rPr>
          <w:t>) in Winemaking</w:t>
        </w:r>
      </w:hyperlink>
      <w:r w:rsidRPr="0017617B">
        <w:rPr>
          <w:sz w:val="20"/>
          <w:szCs w:val="20"/>
          <w:lang w:bidi="ar-SA"/>
        </w:rPr>
        <w:t>. Accessed 2/12/2016</w:t>
      </w:r>
    </w:p>
    <w:p w14:paraId="642AC4E1" w14:textId="77777777" w:rsidR="00503063" w:rsidRPr="0017617B" w:rsidRDefault="00503063" w:rsidP="00C76AD6">
      <w:pPr>
        <w:widowControl/>
        <w:rPr>
          <w:sz w:val="20"/>
          <w:szCs w:val="20"/>
          <w:lang w:bidi="ar-SA"/>
        </w:rPr>
      </w:pPr>
    </w:p>
    <w:p w14:paraId="57CFC9C6" w14:textId="77777777" w:rsidR="00C76AD6" w:rsidRDefault="001F3406" w:rsidP="00C76AD6">
      <w:pPr>
        <w:widowControl/>
        <w:rPr>
          <w:sz w:val="20"/>
          <w:szCs w:val="20"/>
          <w:lang w:bidi="ar-SA"/>
        </w:rPr>
      </w:pPr>
      <w:r>
        <w:t>IOC (</w:t>
      </w:r>
      <w:hyperlink r:id="rId32" w:history="1">
        <w:r w:rsidR="00C76AD6" w:rsidRPr="0017617B">
          <w:rPr>
            <w:rStyle w:val="Hyperlink"/>
            <w:sz w:val="20"/>
            <w:szCs w:val="20"/>
            <w:lang w:bidi="ar-SA"/>
          </w:rPr>
          <w:t>Institut Œnologique de Champagne</w:t>
        </w:r>
        <w:r>
          <w:rPr>
            <w:rStyle w:val="Hyperlink"/>
            <w:sz w:val="20"/>
            <w:szCs w:val="20"/>
            <w:lang w:bidi="ar-SA"/>
          </w:rPr>
          <w:t>)</w:t>
        </w:r>
        <w:r w:rsidR="00C76AD6" w:rsidRPr="0017617B">
          <w:rPr>
            <w:rStyle w:val="Hyperlink"/>
            <w:sz w:val="20"/>
            <w:szCs w:val="20"/>
            <w:lang w:bidi="ar-SA"/>
          </w:rPr>
          <w:t xml:space="preserve"> Website</w:t>
        </w:r>
      </w:hyperlink>
      <w:r w:rsidR="00C76AD6" w:rsidRPr="0017617B">
        <w:rPr>
          <w:sz w:val="20"/>
          <w:szCs w:val="20"/>
          <w:lang w:bidi="ar-SA"/>
        </w:rPr>
        <w:t>. Accessed 10/1/2017</w:t>
      </w:r>
    </w:p>
    <w:p w14:paraId="597C8932" w14:textId="77777777" w:rsidR="001874EE" w:rsidRDefault="001874EE" w:rsidP="00C76AD6">
      <w:pPr>
        <w:widowControl/>
        <w:rPr>
          <w:sz w:val="20"/>
          <w:szCs w:val="20"/>
          <w:lang w:bidi="ar-SA"/>
        </w:rPr>
      </w:pPr>
    </w:p>
    <w:p w14:paraId="19A81BF5" w14:textId="77777777" w:rsidR="00943496" w:rsidRPr="0017617B" w:rsidRDefault="00943496" w:rsidP="00943496">
      <w:pPr>
        <w:rPr>
          <w:sz w:val="20"/>
          <w:szCs w:val="20"/>
          <w:lang w:bidi="ar-SA"/>
        </w:rPr>
      </w:pPr>
      <w:r w:rsidRPr="0017617B">
        <w:rPr>
          <w:sz w:val="20"/>
          <w:szCs w:val="20"/>
          <w:lang w:bidi="ar-SA"/>
        </w:rPr>
        <w:t>JECFA(1974</w:t>
      </w:r>
      <w:r w:rsidR="000179A0" w:rsidRPr="0017617B">
        <w:rPr>
          <w:sz w:val="20"/>
          <w:szCs w:val="20"/>
          <w:lang w:bidi="ar-SA"/>
        </w:rPr>
        <w:t xml:space="preserve">) </w:t>
      </w:r>
      <w:hyperlink r:id="rId33" w:history="1">
        <w:r w:rsidR="000179A0" w:rsidRPr="0017617B">
          <w:rPr>
            <w:rStyle w:val="Hyperlink"/>
            <w:sz w:val="20"/>
            <w:szCs w:val="20"/>
            <w:lang w:bidi="ar-SA"/>
          </w:rPr>
          <w:t>Joint</w:t>
        </w:r>
        <w:r w:rsidRPr="0017617B">
          <w:rPr>
            <w:rStyle w:val="Hyperlink"/>
            <w:sz w:val="20"/>
            <w:szCs w:val="20"/>
            <w:lang w:bidi="ar-SA"/>
          </w:rPr>
          <w:t xml:space="preserve"> FAO/WHO Expert Committee on Food Additives (17th Report)</w:t>
        </w:r>
      </w:hyperlink>
      <w:r w:rsidRPr="0017617B">
        <w:rPr>
          <w:sz w:val="20"/>
          <w:szCs w:val="20"/>
          <w:lang w:bidi="ar-SA"/>
        </w:rPr>
        <w:t xml:space="preserve"> </w:t>
      </w:r>
    </w:p>
    <w:p w14:paraId="614542D8" w14:textId="77777777" w:rsidR="00943496" w:rsidRPr="0017617B" w:rsidRDefault="00943496" w:rsidP="00943496">
      <w:pPr>
        <w:rPr>
          <w:sz w:val="20"/>
          <w:szCs w:val="20"/>
          <w:lang w:bidi="ar-SA"/>
        </w:rPr>
      </w:pPr>
      <w:r w:rsidRPr="0017617B">
        <w:rPr>
          <w:sz w:val="20"/>
          <w:szCs w:val="20"/>
          <w:lang w:bidi="ar-SA"/>
        </w:rPr>
        <w:t>World Health Organization (1974) Technical report series. No. 539</w:t>
      </w:r>
    </w:p>
    <w:p w14:paraId="39224531" w14:textId="77777777" w:rsidR="001646A3" w:rsidRDefault="001646A3" w:rsidP="00943496">
      <w:pPr>
        <w:widowControl/>
        <w:rPr>
          <w:sz w:val="20"/>
          <w:szCs w:val="20"/>
          <w:lang w:bidi="ar-SA"/>
        </w:rPr>
      </w:pPr>
    </w:p>
    <w:p w14:paraId="72C531C7" w14:textId="77777777" w:rsidR="00943496" w:rsidRPr="0017617B" w:rsidRDefault="00943496" w:rsidP="0017617B">
      <w:pPr>
        <w:rPr>
          <w:sz w:val="24"/>
        </w:rPr>
      </w:pPr>
      <w:r w:rsidRPr="0017617B">
        <w:rPr>
          <w:b/>
          <w:sz w:val="24"/>
        </w:rPr>
        <w:t>Silver chloride</w:t>
      </w:r>
    </w:p>
    <w:p w14:paraId="12139C5A" w14:textId="77777777" w:rsidR="005B1C73" w:rsidRDefault="005B1C73" w:rsidP="00866C26">
      <w:pPr>
        <w:rPr>
          <w:sz w:val="20"/>
          <w:szCs w:val="20"/>
          <w:lang w:bidi="ar-SA"/>
        </w:rPr>
      </w:pPr>
    </w:p>
    <w:p w14:paraId="1561E251" w14:textId="77777777" w:rsidR="00866C26" w:rsidRPr="0017617B" w:rsidRDefault="00866C26" w:rsidP="00866C26">
      <w:pPr>
        <w:rPr>
          <w:sz w:val="20"/>
          <w:szCs w:val="20"/>
          <w:lang w:bidi="ar-SA"/>
        </w:rPr>
      </w:pPr>
      <w:r w:rsidRPr="0017617B">
        <w:rPr>
          <w:sz w:val="20"/>
          <w:szCs w:val="20"/>
          <w:lang w:bidi="ar-SA"/>
        </w:rPr>
        <w:t xml:space="preserve">Asakura K, Satoh H, Chiba M, Okamoto M, Serizawa K, Nakano M and Omae K (2009) Genotoxicity studies of heavy metals: Lead, </w:t>
      </w:r>
      <w:r w:rsidRPr="00C76AD6">
        <w:rPr>
          <w:sz w:val="20"/>
          <w:szCs w:val="20"/>
          <w:lang w:bidi="ar-SA"/>
        </w:rPr>
        <w:t xml:space="preserve">bismuth, indium, silver and antimony. </w:t>
      </w:r>
      <w:r w:rsidRPr="00D6552D">
        <w:rPr>
          <w:sz w:val="20"/>
          <w:szCs w:val="20"/>
          <w:lang w:bidi="ar-SA"/>
        </w:rPr>
        <w:t>Journal of Occupational Health</w:t>
      </w:r>
      <w:r w:rsidRPr="0017617B">
        <w:rPr>
          <w:sz w:val="20"/>
          <w:szCs w:val="20"/>
          <w:lang w:bidi="ar-SA"/>
        </w:rPr>
        <w:t xml:space="preserve"> 51: 498-512</w:t>
      </w:r>
    </w:p>
    <w:p w14:paraId="67340B0D" w14:textId="77777777" w:rsidR="00866C26" w:rsidRPr="0017617B" w:rsidRDefault="00866C26" w:rsidP="00866C26">
      <w:pPr>
        <w:rPr>
          <w:sz w:val="20"/>
          <w:szCs w:val="20"/>
          <w:lang w:bidi="ar-SA"/>
        </w:rPr>
      </w:pPr>
    </w:p>
    <w:p w14:paraId="5298D274" w14:textId="77777777" w:rsidR="00866C26" w:rsidRPr="0017617B" w:rsidRDefault="000E611C" w:rsidP="00866C26">
      <w:pPr>
        <w:rPr>
          <w:sz w:val="20"/>
          <w:szCs w:val="20"/>
          <w:lang w:bidi="ar-SA"/>
        </w:rPr>
      </w:pPr>
      <w:hyperlink r:id="rId34" w:history="1">
        <w:r w:rsidR="00866C26" w:rsidRPr="0017617B">
          <w:rPr>
            <w:rStyle w:val="Hyperlink"/>
            <w:sz w:val="20"/>
            <w:szCs w:val="20"/>
            <w:lang w:bidi="ar-SA"/>
          </w:rPr>
          <w:t>ATSDR (1990) Toxicological Profile for Silver</w:t>
        </w:r>
      </w:hyperlink>
      <w:r w:rsidR="00866C26" w:rsidRPr="0017617B">
        <w:rPr>
          <w:sz w:val="20"/>
          <w:szCs w:val="20"/>
          <w:lang w:bidi="ar-SA"/>
        </w:rPr>
        <w:t xml:space="preserve"> Agency for Toxic Substances and Disease Registry, US Public Health Service </w:t>
      </w:r>
    </w:p>
    <w:p w14:paraId="4BCE9916" w14:textId="77777777" w:rsidR="00866C26" w:rsidRPr="0017617B" w:rsidRDefault="00866C26" w:rsidP="00866C26">
      <w:pPr>
        <w:rPr>
          <w:sz w:val="20"/>
          <w:szCs w:val="20"/>
          <w:lang w:bidi="ar-SA"/>
        </w:rPr>
      </w:pPr>
    </w:p>
    <w:p w14:paraId="4FD3BEE0" w14:textId="77777777" w:rsidR="00866C26" w:rsidRPr="0017617B" w:rsidRDefault="00866C26" w:rsidP="00866C26">
      <w:pPr>
        <w:rPr>
          <w:sz w:val="20"/>
          <w:szCs w:val="20"/>
          <w:lang w:bidi="ar-SA"/>
        </w:rPr>
      </w:pPr>
      <w:r w:rsidRPr="0017617B">
        <w:rPr>
          <w:sz w:val="20"/>
          <w:szCs w:val="20"/>
          <w:lang w:bidi="ar-SA"/>
        </w:rPr>
        <w:t xml:space="preserve">Boudreau MD, Imam MS, Paredes AM, Bryant MS, Cunningham CK, Felton RP, Jones MY, Davis KJ and Olson GR (2016) Differential effects of silver nanoparticles and silver ions on tissue accumulation, distribution, and toxicity in the Sprague Dawley rat following daily oral gavage administration for 13 weeks. </w:t>
      </w:r>
      <w:r w:rsidRPr="00D6552D">
        <w:rPr>
          <w:sz w:val="20"/>
          <w:szCs w:val="20"/>
          <w:lang w:bidi="ar-SA"/>
        </w:rPr>
        <w:t>Toxicological Sciences</w:t>
      </w:r>
      <w:r w:rsidRPr="00C76AD6">
        <w:rPr>
          <w:sz w:val="20"/>
          <w:szCs w:val="20"/>
          <w:lang w:bidi="ar-SA"/>
        </w:rPr>
        <w:t xml:space="preserve"> </w:t>
      </w:r>
      <w:r w:rsidRPr="00D6552D">
        <w:rPr>
          <w:sz w:val="20"/>
          <w:szCs w:val="20"/>
          <w:lang w:bidi="ar-SA"/>
        </w:rPr>
        <w:t>150</w:t>
      </w:r>
      <w:r w:rsidRPr="00C76AD6">
        <w:rPr>
          <w:sz w:val="20"/>
          <w:szCs w:val="20"/>
          <w:lang w:bidi="ar-SA"/>
        </w:rPr>
        <w:t>(1): 131-160</w:t>
      </w:r>
    </w:p>
    <w:p w14:paraId="094E8812" w14:textId="77777777" w:rsidR="00866C26" w:rsidRPr="0017617B" w:rsidRDefault="00866C26" w:rsidP="00866C26">
      <w:pPr>
        <w:rPr>
          <w:sz w:val="20"/>
          <w:szCs w:val="20"/>
          <w:lang w:bidi="ar-SA"/>
        </w:rPr>
      </w:pPr>
    </w:p>
    <w:p w14:paraId="24C6D536" w14:textId="77777777" w:rsidR="00866C26" w:rsidRPr="0017617B" w:rsidRDefault="00866C26" w:rsidP="00866C26">
      <w:pPr>
        <w:rPr>
          <w:sz w:val="20"/>
          <w:szCs w:val="20"/>
          <w:lang w:bidi="ar-SA"/>
        </w:rPr>
      </w:pPr>
      <w:r w:rsidRPr="0017617B">
        <w:rPr>
          <w:sz w:val="20"/>
          <w:szCs w:val="20"/>
          <w:lang w:bidi="ar-SA"/>
        </w:rPr>
        <w:t xml:space="preserve">Charehsaz M, Hougaard KS, Sipahi H, Ekici AID, Kaspar C, Culha M, Bucurgat </w:t>
      </w:r>
      <w:r w:rsidRPr="0017617B">
        <w:rPr>
          <w:rFonts w:cs="Arial"/>
          <w:sz w:val="20"/>
          <w:szCs w:val="20"/>
          <w:lang w:bidi="ar-SA"/>
        </w:rPr>
        <w:t>ÜÜ</w:t>
      </w:r>
      <w:r w:rsidRPr="0017617B">
        <w:rPr>
          <w:sz w:val="20"/>
          <w:szCs w:val="20"/>
          <w:lang w:bidi="ar-SA"/>
        </w:rPr>
        <w:t xml:space="preserve"> and Aydin A (2016) Effects of developmental exposure to silver in ionic and nanoparticle form: A study in rats. </w:t>
      </w:r>
      <w:r w:rsidRPr="00D6552D">
        <w:rPr>
          <w:sz w:val="20"/>
          <w:szCs w:val="20"/>
          <w:lang w:bidi="ar-SA"/>
        </w:rPr>
        <w:t>DARU Journal of Pharmaceutical Sciences</w:t>
      </w:r>
      <w:r w:rsidRPr="00C76AD6">
        <w:rPr>
          <w:sz w:val="20"/>
          <w:szCs w:val="20"/>
          <w:lang w:bidi="ar-SA"/>
        </w:rPr>
        <w:t xml:space="preserve"> </w:t>
      </w:r>
      <w:r w:rsidRPr="00D6552D">
        <w:rPr>
          <w:sz w:val="20"/>
          <w:szCs w:val="20"/>
          <w:lang w:bidi="ar-SA"/>
        </w:rPr>
        <w:t>24</w:t>
      </w:r>
      <w:r w:rsidRPr="00C76AD6">
        <w:rPr>
          <w:sz w:val="20"/>
          <w:szCs w:val="20"/>
          <w:lang w:bidi="ar-SA"/>
        </w:rPr>
        <w:t>: 24</w:t>
      </w:r>
    </w:p>
    <w:p w14:paraId="7AEE34B5" w14:textId="77777777" w:rsidR="00866C26" w:rsidRPr="0017617B" w:rsidRDefault="00866C26" w:rsidP="00866C26">
      <w:pPr>
        <w:rPr>
          <w:sz w:val="20"/>
          <w:szCs w:val="20"/>
          <w:lang w:bidi="ar-SA"/>
        </w:rPr>
      </w:pPr>
    </w:p>
    <w:p w14:paraId="1F68F785" w14:textId="77777777" w:rsidR="00866C26" w:rsidRPr="00B57211" w:rsidRDefault="00866C26" w:rsidP="00866C26">
      <w:pPr>
        <w:rPr>
          <w:sz w:val="20"/>
          <w:szCs w:val="20"/>
          <w:lang w:bidi="ar-SA"/>
        </w:rPr>
      </w:pPr>
      <w:r w:rsidRPr="0017617B">
        <w:rPr>
          <w:sz w:val="20"/>
          <w:szCs w:val="20"/>
          <w:lang w:bidi="ar-SA"/>
        </w:rPr>
        <w:t xml:space="preserve">Drake PL </w:t>
      </w:r>
      <w:r w:rsidRPr="00D6552D">
        <w:rPr>
          <w:i/>
          <w:sz w:val="20"/>
          <w:szCs w:val="20"/>
          <w:lang w:bidi="ar-SA"/>
        </w:rPr>
        <w:t xml:space="preserve">and Hazelwood KJ (2005). </w:t>
      </w:r>
      <w:r w:rsidRPr="00667ED6">
        <w:rPr>
          <w:sz w:val="20"/>
          <w:szCs w:val="20"/>
          <w:lang w:bidi="ar-SA"/>
        </w:rPr>
        <w:t xml:space="preserve">Exposure-related health effects of silver and silver compounds: A review. Annals of Occupational </w:t>
      </w:r>
      <w:r w:rsidR="005A121B" w:rsidRPr="00667ED6">
        <w:rPr>
          <w:sz w:val="20"/>
          <w:szCs w:val="20"/>
          <w:lang w:bidi="ar-SA"/>
        </w:rPr>
        <w:t>Hygiene</w:t>
      </w:r>
      <w:r w:rsidRPr="00667ED6">
        <w:rPr>
          <w:sz w:val="20"/>
          <w:szCs w:val="20"/>
          <w:lang w:bidi="ar-SA"/>
        </w:rPr>
        <w:t xml:space="preserve"> 49(7): 575-585</w:t>
      </w:r>
    </w:p>
    <w:p w14:paraId="18EC7539" w14:textId="77777777" w:rsidR="00866C26" w:rsidRPr="0017617B" w:rsidRDefault="00866C26" w:rsidP="00866C26">
      <w:pPr>
        <w:rPr>
          <w:sz w:val="20"/>
          <w:szCs w:val="20"/>
          <w:lang w:bidi="ar-SA"/>
        </w:rPr>
      </w:pPr>
    </w:p>
    <w:p w14:paraId="4259BF42" w14:textId="77777777" w:rsidR="00866C26" w:rsidRPr="00C76AD6" w:rsidRDefault="00866C26" w:rsidP="00866C26">
      <w:pPr>
        <w:rPr>
          <w:sz w:val="20"/>
          <w:szCs w:val="20"/>
          <w:lang w:bidi="ar-SA"/>
        </w:rPr>
      </w:pPr>
      <w:r w:rsidRPr="0017617B">
        <w:rPr>
          <w:sz w:val="20"/>
          <w:szCs w:val="20"/>
          <w:lang w:bidi="ar-SA"/>
        </w:rPr>
        <w:t xml:space="preserve">EFSA (2016) </w:t>
      </w:r>
      <w:hyperlink r:id="rId35" w:history="1">
        <w:r w:rsidRPr="0017617B">
          <w:rPr>
            <w:rStyle w:val="Hyperlink"/>
            <w:sz w:val="20"/>
            <w:szCs w:val="20"/>
            <w:lang w:bidi="ar-SA"/>
          </w:rPr>
          <w:t>Scientific opinion on the re-evaluation of silver (E 174) as food additive</w:t>
        </w:r>
      </w:hyperlink>
      <w:r w:rsidRPr="0017617B">
        <w:rPr>
          <w:sz w:val="20"/>
          <w:szCs w:val="20"/>
          <w:lang w:bidi="ar-SA"/>
        </w:rPr>
        <w:t xml:space="preserve">. </w:t>
      </w:r>
      <w:r w:rsidRPr="00D6552D">
        <w:rPr>
          <w:sz w:val="20"/>
          <w:szCs w:val="20"/>
          <w:lang w:bidi="ar-SA"/>
        </w:rPr>
        <w:t>EFSA Journal</w:t>
      </w:r>
      <w:r w:rsidRPr="00C76AD6">
        <w:rPr>
          <w:sz w:val="20"/>
          <w:szCs w:val="20"/>
          <w:lang w:bidi="ar-SA"/>
        </w:rPr>
        <w:t xml:space="preserve"> </w:t>
      </w:r>
      <w:r w:rsidRPr="00D6552D">
        <w:rPr>
          <w:sz w:val="20"/>
          <w:szCs w:val="20"/>
          <w:lang w:bidi="ar-SA"/>
        </w:rPr>
        <w:t>14</w:t>
      </w:r>
      <w:r w:rsidRPr="00C76AD6">
        <w:rPr>
          <w:sz w:val="20"/>
          <w:szCs w:val="20"/>
          <w:lang w:bidi="ar-SA"/>
        </w:rPr>
        <w:t xml:space="preserve">(1):4364 </w:t>
      </w:r>
    </w:p>
    <w:p w14:paraId="080B1F9F" w14:textId="77777777" w:rsidR="00866C26" w:rsidRPr="0017617B" w:rsidRDefault="00866C26" w:rsidP="00866C26">
      <w:pPr>
        <w:rPr>
          <w:sz w:val="20"/>
          <w:szCs w:val="20"/>
          <w:lang w:bidi="ar-SA"/>
        </w:rPr>
      </w:pPr>
    </w:p>
    <w:p w14:paraId="2DC8C5AB" w14:textId="77777777" w:rsidR="00866C26" w:rsidRPr="0017617B" w:rsidRDefault="00866C26" w:rsidP="00866C26">
      <w:pPr>
        <w:rPr>
          <w:sz w:val="20"/>
          <w:szCs w:val="20"/>
          <w:lang w:bidi="ar-SA"/>
        </w:rPr>
      </w:pPr>
      <w:r w:rsidRPr="0017617B">
        <w:rPr>
          <w:sz w:val="20"/>
          <w:szCs w:val="20"/>
          <w:lang w:bidi="ar-SA"/>
        </w:rPr>
        <w:t>Hadrup</w:t>
      </w:r>
      <w:r w:rsidR="00C76AD6">
        <w:rPr>
          <w:sz w:val="20"/>
          <w:szCs w:val="20"/>
          <w:lang w:bidi="ar-SA"/>
        </w:rPr>
        <w:t xml:space="preserve">, </w:t>
      </w:r>
      <w:r w:rsidRPr="0017617B">
        <w:rPr>
          <w:sz w:val="20"/>
          <w:szCs w:val="20"/>
          <w:lang w:bidi="ar-SA"/>
        </w:rPr>
        <w:t xml:space="preserve"> Lam (2014) Oral toxicity of silver ions, silver nanoparticles and colloidal silver – A review. </w:t>
      </w:r>
      <w:r w:rsidRPr="00D6552D">
        <w:rPr>
          <w:sz w:val="20"/>
          <w:szCs w:val="20"/>
          <w:lang w:bidi="ar-SA"/>
        </w:rPr>
        <w:t>Regulatory Toxicology and Pharmacology</w:t>
      </w:r>
      <w:r w:rsidRPr="00C76AD6">
        <w:rPr>
          <w:sz w:val="20"/>
          <w:szCs w:val="20"/>
          <w:lang w:bidi="ar-SA"/>
        </w:rPr>
        <w:t xml:space="preserve"> </w:t>
      </w:r>
      <w:r w:rsidRPr="00D6552D">
        <w:rPr>
          <w:sz w:val="20"/>
          <w:szCs w:val="20"/>
          <w:lang w:bidi="ar-SA"/>
        </w:rPr>
        <w:t>68</w:t>
      </w:r>
      <w:r w:rsidRPr="00C76AD6">
        <w:rPr>
          <w:sz w:val="20"/>
          <w:szCs w:val="20"/>
          <w:lang w:bidi="ar-SA"/>
        </w:rPr>
        <w:t>: 1-7</w:t>
      </w:r>
    </w:p>
    <w:p w14:paraId="0A53FFB9" w14:textId="77777777" w:rsidR="00C76AD6" w:rsidRDefault="00C76AD6" w:rsidP="00C76AD6">
      <w:pPr>
        <w:widowControl/>
        <w:rPr>
          <w:sz w:val="20"/>
          <w:szCs w:val="20"/>
          <w:lang w:bidi="ar-SA"/>
        </w:rPr>
      </w:pPr>
    </w:p>
    <w:p w14:paraId="53862470" w14:textId="77777777" w:rsidR="00C76AD6" w:rsidRPr="0017617B" w:rsidRDefault="001F3406" w:rsidP="00C76AD6">
      <w:pPr>
        <w:widowControl/>
        <w:rPr>
          <w:sz w:val="20"/>
          <w:szCs w:val="20"/>
          <w:lang w:bidi="ar-SA"/>
        </w:rPr>
      </w:pPr>
      <w:r>
        <w:rPr>
          <w:sz w:val="20"/>
          <w:szCs w:val="20"/>
          <w:lang w:bidi="ar-SA"/>
        </w:rPr>
        <w:t>IOV (</w:t>
      </w:r>
      <w:r w:rsidR="00C76AD6" w:rsidRPr="0017617B">
        <w:rPr>
          <w:sz w:val="20"/>
          <w:szCs w:val="20"/>
          <w:lang w:bidi="ar-SA"/>
        </w:rPr>
        <w:t>International organisation of vine and wine</w:t>
      </w:r>
      <w:r>
        <w:rPr>
          <w:sz w:val="20"/>
          <w:szCs w:val="20"/>
          <w:lang w:bidi="ar-SA"/>
        </w:rPr>
        <w:t>)</w:t>
      </w:r>
      <w:r w:rsidR="00C76AD6" w:rsidRPr="0017617B">
        <w:rPr>
          <w:sz w:val="20"/>
          <w:szCs w:val="20"/>
          <w:lang w:bidi="ar-SA"/>
        </w:rPr>
        <w:t xml:space="preserve">. </w:t>
      </w:r>
      <w:hyperlink r:id="rId36" w:history="1">
        <w:r w:rsidR="00C76AD6" w:rsidRPr="001F3406">
          <w:rPr>
            <w:rStyle w:val="Hyperlink"/>
            <w:sz w:val="20"/>
            <w:szCs w:val="20"/>
            <w:lang w:bidi="ar-SA"/>
          </w:rPr>
          <w:t>International code of oenological practices 2012</w:t>
        </w:r>
      </w:hyperlink>
      <w:r w:rsidR="00C76AD6" w:rsidRPr="0017617B">
        <w:rPr>
          <w:sz w:val="20"/>
          <w:szCs w:val="20"/>
          <w:lang w:bidi="ar-SA"/>
        </w:rPr>
        <w:t xml:space="preserve"> issue Section 3.5.15. Treatment with silver chloride (OIV-OENO 2009-145). Accessed 5/12/2016</w:t>
      </w:r>
    </w:p>
    <w:p w14:paraId="5C30BA6C" w14:textId="77777777" w:rsidR="00866C26" w:rsidRPr="0017617B" w:rsidRDefault="00866C26" w:rsidP="00866C26">
      <w:pPr>
        <w:rPr>
          <w:sz w:val="20"/>
          <w:szCs w:val="20"/>
          <w:lang w:bidi="ar-SA"/>
        </w:rPr>
      </w:pPr>
    </w:p>
    <w:p w14:paraId="546CA3FD" w14:textId="77777777" w:rsidR="00866C26" w:rsidRPr="0017617B" w:rsidRDefault="00866C26" w:rsidP="00866C26">
      <w:pPr>
        <w:rPr>
          <w:sz w:val="20"/>
          <w:szCs w:val="20"/>
          <w:lang w:bidi="ar-SA"/>
        </w:rPr>
      </w:pPr>
      <w:r w:rsidRPr="0017617B">
        <w:rPr>
          <w:sz w:val="20"/>
          <w:szCs w:val="20"/>
          <w:lang w:bidi="ar-SA"/>
        </w:rPr>
        <w:t>Hadrup N, Loeschner K, Bergstr</w:t>
      </w:r>
      <w:r w:rsidRPr="0017617B">
        <w:rPr>
          <w:rFonts w:cs="Arial"/>
          <w:sz w:val="20"/>
          <w:szCs w:val="20"/>
          <w:lang w:bidi="ar-SA"/>
        </w:rPr>
        <w:t>ö</w:t>
      </w:r>
      <w:r w:rsidRPr="0017617B">
        <w:rPr>
          <w:sz w:val="20"/>
          <w:szCs w:val="20"/>
          <w:lang w:bidi="ar-SA"/>
        </w:rPr>
        <w:t xml:space="preserve">m A, Wilcks A, Gao X, Vogel U, Frandsen HL, Larsen EH, Lam HR and Mortensen A (2012) Subacute oral toxicity investigation of nanoparticulate and ionic silver in rats. </w:t>
      </w:r>
      <w:r w:rsidRPr="00D6552D">
        <w:rPr>
          <w:sz w:val="20"/>
          <w:szCs w:val="20"/>
          <w:lang w:bidi="ar-SA"/>
        </w:rPr>
        <w:t>Archives of Toxicology</w:t>
      </w:r>
      <w:r w:rsidRPr="00C76AD6">
        <w:rPr>
          <w:sz w:val="20"/>
          <w:szCs w:val="20"/>
          <w:lang w:bidi="ar-SA"/>
        </w:rPr>
        <w:t xml:space="preserve"> </w:t>
      </w:r>
      <w:r w:rsidRPr="00D6552D">
        <w:rPr>
          <w:sz w:val="20"/>
          <w:szCs w:val="20"/>
          <w:lang w:bidi="ar-SA"/>
        </w:rPr>
        <w:t>86</w:t>
      </w:r>
      <w:r w:rsidRPr="00C76AD6">
        <w:rPr>
          <w:sz w:val="20"/>
          <w:szCs w:val="20"/>
          <w:lang w:bidi="ar-SA"/>
        </w:rPr>
        <w:t>: 543</w:t>
      </w:r>
      <w:r w:rsidRPr="0017617B">
        <w:rPr>
          <w:sz w:val="20"/>
          <w:szCs w:val="20"/>
          <w:lang w:bidi="ar-SA"/>
        </w:rPr>
        <w:t>-551</w:t>
      </w:r>
    </w:p>
    <w:p w14:paraId="66DC0A2F" w14:textId="77777777" w:rsidR="00866C26" w:rsidRPr="0017617B" w:rsidRDefault="00866C26" w:rsidP="00866C26">
      <w:pPr>
        <w:rPr>
          <w:sz w:val="20"/>
          <w:szCs w:val="20"/>
          <w:lang w:bidi="ar-SA"/>
        </w:rPr>
      </w:pPr>
    </w:p>
    <w:p w14:paraId="227F8EC8" w14:textId="77777777" w:rsidR="00866C26" w:rsidRPr="0017617B" w:rsidRDefault="00866C26" w:rsidP="00866C26">
      <w:pPr>
        <w:rPr>
          <w:sz w:val="20"/>
          <w:szCs w:val="20"/>
          <w:lang w:bidi="ar-SA"/>
        </w:rPr>
      </w:pPr>
      <w:r w:rsidRPr="0017617B">
        <w:rPr>
          <w:sz w:val="20"/>
          <w:szCs w:val="20"/>
          <w:lang w:bidi="ar-SA"/>
        </w:rPr>
        <w:t>Loeschner K, Hadrup N, Qvortrup K, Larsen A, Gao X, Vogel U, Martensen A, Lam HR and Larsen EH (2011</w:t>
      </w:r>
      <w:r w:rsidRPr="00C76AD6">
        <w:rPr>
          <w:sz w:val="20"/>
          <w:szCs w:val="20"/>
          <w:lang w:bidi="ar-SA"/>
        </w:rPr>
        <w:t xml:space="preserve">) Distribution of silver in rats following 28 days of repeated oral exposure to silver nanoparticles or silver acetate. </w:t>
      </w:r>
      <w:r w:rsidRPr="00D6552D">
        <w:rPr>
          <w:sz w:val="20"/>
          <w:szCs w:val="20"/>
          <w:lang w:bidi="ar-SA"/>
        </w:rPr>
        <w:t>Particle and Fibre Toxicology</w:t>
      </w:r>
      <w:r w:rsidRPr="00C76AD6">
        <w:rPr>
          <w:sz w:val="20"/>
          <w:szCs w:val="20"/>
          <w:lang w:bidi="ar-SA"/>
        </w:rPr>
        <w:t xml:space="preserve"> </w:t>
      </w:r>
      <w:r w:rsidRPr="00D6552D">
        <w:rPr>
          <w:sz w:val="20"/>
          <w:szCs w:val="20"/>
          <w:lang w:bidi="ar-SA"/>
        </w:rPr>
        <w:t>8</w:t>
      </w:r>
      <w:r w:rsidRPr="00C76AD6">
        <w:rPr>
          <w:sz w:val="20"/>
          <w:szCs w:val="20"/>
          <w:lang w:bidi="ar-SA"/>
        </w:rPr>
        <w:t>: 18 doi: 10.1186/1743-8977-8-18</w:t>
      </w:r>
    </w:p>
    <w:p w14:paraId="1295631B" w14:textId="77777777" w:rsidR="00866C26" w:rsidRPr="0017617B" w:rsidRDefault="00866C26" w:rsidP="00866C26">
      <w:pPr>
        <w:rPr>
          <w:sz w:val="20"/>
          <w:szCs w:val="20"/>
          <w:lang w:bidi="ar-SA"/>
        </w:rPr>
      </w:pPr>
    </w:p>
    <w:p w14:paraId="0807AB20" w14:textId="77777777" w:rsidR="00866C26" w:rsidRPr="00C76AD6" w:rsidRDefault="00866C26" w:rsidP="00866C26">
      <w:pPr>
        <w:rPr>
          <w:sz w:val="20"/>
          <w:szCs w:val="20"/>
          <w:lang w:bidi="ar-SA"/>
        </w:rPr>
      </w:pPr>
      <w:r w:rsidRPr="0017617B">
        <w:rPr>
          <w:sz w:val="20"/>
          <w:szCs w:val="20"/>
          <w:lang w:bidi="ar-SA"/>
        </w:rPr>
        <w:t>MacIntyre D, McLay ALC, East BW, Williams ED and Boddy K (1978) Silver poisoning associated with an antismoking loz</w:t>
      </w:r>
      <w:r w:rsidRPr="00C76AD6">
        <w:rPr>
          <w:sz w:val="20"/>
          <w:szCs w:val="20"/>
          <w:lang w:bidi="ar-SA"/>
        </w:rPr>
        <w:t xml:space="preserve">enge. </w:t>
      </w:r>
      <w:r w:rsidRPr="00D6552D">
        <w:rPr>
          <w:sz w:val="20"/>
          <w:szCs w:val="20"/>
          <w:lang w:bidi="ar-SA"/>
        </w:rPr>
        <w:t>British Medical Journal</w:t>
      </w:r>
      <w:r w:rsidRPr="00C76AD6">
        <w:rPr>
          <w:sz w:val="20"/>
          <w:szCs w:val="20"/>
          <w:lang w:bidi="ar-SA"/>
        </w:rPr>
        <w:t xml:space="preserve"> </w:t>
      </w:r>
      <w:r w:rsidRPr="00D6552D">
        <w:rPr>
          <w:sz w:val="20"/>
          <w:szCs w:val="20"/>
          <w:lang w:bidi="ar-SA"/>
        </w:rPr>
        <w:t>2</w:t>
      </w:r>
      <w:r w:rsidRPr="00C76AD6">
        <w:rPr>
          <w:sz w:val="20"/>
          <w:szCs w:val="20"/>
          <w:lang w:bidi="ar-SA"/>
        </w:rPr>
        <w:t>: 1749-1750</w:t>
      </w:r>
    </w:p>
    <w:p w14:paraId="293C9376" w14:textId="77777777" w:rsidR="00866C26" w:rsidRPr="0017617B" w:rsidRDefault="00866C26" w:rsidP="00866C26">
      <w:pPr>
        <w:rPr>
          <w:sz w:val="20"/>
          <w:szCs w:val="20"/>
          <w:lang w:bidi="ar-SA"/>
        </w:rPr>
      </w:pPr>
    </w:p>
    <w:p w14:paraId="13F1EF7C" w14:textId="77777777" w:rsidR="00866C26" w:rsidRPr="00C76AD6" w:rsidRDefault="00866C26" w:rsidP="00866C26">
      <w:pPr>
        <w:rPr>
          <w:rFonts w:cs="Arial"/>
          <w:sz w:val="20"/>
          <w:szCs w:val="20"/>
          <w:lang w:eastAsia="en-GB" w:bidi="ar-SA"/>
        </w:rPr>
      </w:pPr>
      <w:r w:rsidRPr="0017617B">
        <w:rPr>
          <w:sz w:val="20"/>
          <w:szCs w:val="20"/>
          <w:lang w:bidi="ar-SA"/>
        </w:rPr>
        <w:t>Stepien K, Morris R, Brown S, Taylor A and Morgan L (2009) Unintentional silver intoxication following self-medication: an unusual case of corticobasal degeneration</w:t>
      </w:r>
      <w:r w:rsidRPr="00C76AD6">
        <w:rPr>
          <w:sz w:val="20"/>
          <w:szCs w:val="20"/>
          <w:lang w:bidi="ar-SA"/>
        </w:rPr>
        <w:t xml:space="preserve">. </w:t>
      </w:r>
      <w:r w:rsidRPr="00D6552D">
        <w:rPr>
          <w:sz w:val="20"/>
          <w:szCs w:val="20"/>
          <w:lang w:bidi="ar-SA"/>
        </w:rPr>
        <w:t>Annals of Clinical Biochemistry</w:t>
      </w:r>
      <w:r w:rsidRPr="00C76AD6">
        <w:rPr>
          <w:sz w:val="20"/>
          <w:szCs w:val="20"/>
          <w:lang w:bidi="ar-SA"/>
        </w:rPr>
        <w:t xml:space="preserve"> </w:t>
      </w:r>
      <w:r w:rsidRPr="00D6552D">
        <w:rPr>
          <w:rFonts w:cs="Arial"/>
          <w:sz w:val="20"/>
          <w:szCs w:val="20"/>
          <w:lang w:eastAsia="en-GB" w:bidi="ar-SA"/>
        </w:rPr>
        <w:t>46</w:t>
      </w:r>
      <w:r w:rsidRPr="00C76AD6">
        <w:rPr>
          <w:rFonts w:cs="Arial"/>
          <w:sz w:val="20"/>
          <w:szCs w:val="20"/>
          <w:lang w:eastAsia="en-GB" w:bidi="ar-SA"/>
        </w:rPr>
        <w:t>: 520–522</w:t>
      </w:r>
    </w:p>
    <w:p w14:paraId="437D24D0" w14:textId="77777777" w:rsidR="00866C26" w:rsidRPr="0017617B" w:rsidRDefault="00866C26" w:rsidP="00866C26">
      <w:pPr>
        <w:rPr>
          <w:rFonts w:cs="Arial"/>
          <w:sz w:val="20"/>
          <w:szCs w:val="20"/>
          <w:lang w:bidi="ar-SA"/>
        </w:rPr>
      </w:pPr>
    </w:p>
    <w:p w14:paraId="32FA2551" w14:textId="77777777" w:rsidR="00866C26" w:rsidRPr="0017617B" w:rsidRDefault="00866C26" w:rsidP="00866C26">
      <w:pPr>
        <w:rPr>
          <w:rFonts w:cs="Arial"/>
          <w:sz w:val="20"/>
          <w:szCs w:val="20"/>
          <w:lang w:bidi="ar-SA"/>
        </w:rPr>
      </w:pPr>
      <w:r w:rsidRPr="0017617B">
        <w:rPr>
          <w:rFonts w:cs="Arial"/>
          <w:sz w:val="20"/>
          <w:szCs w:val="20"/>
          <w:lang w:bidi="ar-SA"/>
        </w:rPr>
        <w:t xml:space="preserve">WHO (1977) </w:t>
      </w:r>
      <w:hyperlink r:id="rId37" w:history="1">
        <w:r w:rsidR="00C76AD6">
          <w:rPr>
            <w:rStyle w:val="Hyperlink"/>
            <w:rFonts w:cs="Arial"/>
            <w:sz w:val="20"/>
            <w:szCs w:val="20"/>
            <w:lang w:bidi="ar-SA"/>
          </w:rPr>
          <w:t>WHO Food Additives Series No. 12, Summary of toxicological data of certain food additives</w:t>
        </w:r>
      </w:hyperlink>
      <w:r w:rsidRPr="0017617B">
        <w:rPr>
          <w:rFonts w:cs="Arial"/>
          <w:sz w:val="20"/>
          <w:szCs w:val="20"/>
          <w:lang w:bidi="ar-SA"/>
        </w:rPr>
        <w:t xml:space="preserve"> </w:t>
      </w:r>
    </w:p>
    <w:p w14:paraId="41766187" w14:textId="77777777" w:rsidR="00891DC8" w:rsidRPr="0017617B" w:rsidRDefault="00891DC8" w:rsidP="00891DC8">
      <w:pPr>
        <w:widowControl/>
        <w:rPr>
          <w:sz w:val="20"/>
          <w:szCs w:val="20"/>
          <w:lang w:bidi="ar-SA"/>
        </w:rPr>
      </w:pPr>
    </w:p>
    <w:p w14:paraId="75884E5B" w14:textId="77777777" w:rsidR="00891DC8" w:rsidRPr="0017617B" w:rsidRDefault="001F3406" w:rsidP="00891DC8">
      <w:pPr>
        <w:widowControl/>
        <w:rPr>
          <w:sz w:val="20"/>
          <w:szCs w:val="20"/>
          <w:lang w:bidi="ar-SA"/>
        </w:rPr>
      </w:pPr>
      <w:r w:rsidRPr="0017617B">
        <w:rPr>
          <w:sz w:val="20"/>
          <w:szCs w:val="20"/>
          <w:lang w:bidi="ar-SA"/>
        </w:rPr>
        <w:t>Erbsloeh</w:t>
      </w:r>
      <w:r>
        <w:rPr>
          <w:sz w:val="20"/>
          <w:szCs w:val="20"/>
          <w:lang w:bidi="ar-SA"/>
        </w:rPr>
        <w:t>.</w:t>
      </w:r>
      <w:r>
        <w:t xml:space="preserve"> </w:t>
      </w:r>
      <w:hyperlink r:id="rId38" w:history="1">
        <w:r w:rsidR="00891DC8" w:rsidRPr="0017617B">
          <w:rPr>
            <w:rStyle w:val="Hyperlink"/>
            <w:sz w:val="20"/>
            <w:szCs w:val="20"/>
            <w:lang w:bidi="ar-SA"/>
          </w:rPr>
          <w:t>Ercofid technical product leaflet</w:t>
        </w:r>
      </w:hyperlink>
      <w:r w:rsidR="00891DC8" w:rsidRPr="0017617B">
        <w:rPr>
          <w:sz w:val="20"/>
          <w:szCs w:val="20"/>
          <w:lang w:bidi="ar-SA"/>
        </w:rPr>
        <w:t xml:space="preserve"> Silver chloride preparation for the removal of persistent sulphide off-flavours.. </w:t>
      </w:r>
      <w:r w:rsidR="00984383" w:rsidRPr="0017617B">
        <w:rPr>
          <w:sz w:val="20"/>
          <w:szCs w:val="20"/>
          <w:lang w:bidi="ar-SA"/>
        </w:rPr>
        <w:t xml:space="preserve"> Accessed 9/12/2016</w:t>
      </w:r>
    </w:p>
    <w:p w14:paraId="093302DB" w14:textId="77777777" w:rsidR="00891DC8" w:rsidRPr="0017617B" w:rsidRDefault="00891DC8" w:rsidP="00891DC8">
      <w:pPr>
        <w:widowControl/>
        <w:rPr>
          <w:sz w:val="20"/>
          <w:szCs w:val="20"/>
          <w:lang w:bidi="ar-SA"/>
        </w:rPr>
      </w:pPr>
    </w:p>
    <w:p w14:paraId="05014089" w14:textId="77777777" w:rsidR="00891DC8" w:rsidRPr="0017617B" w:rsidRDefault="000E611C" w:rsidP="00891DC8">
      <w:pPr>
        <w:widowControl/>
        <w:rPr>
          <w:sz w:val="20"/>
          <w:szCs w:val="20"/>
          <w:lang w:bidi="ar-SA"/>
        </w:rPr>
      </w:pPr>
      <w:hyperlink r:id="rId39" w:history="1">
        <w:r w:rsidR="00891DC8" w:rsidRPr="0017617B">
          <w:rPr>
            <w:rStyle w:val="Hyperlink"/>
            <w:sz w:val="20"/>
            <w:szCs w:val="20"/>
            <w:lang w:bidi="ar-SA"/>
          </w:rPr>
          <w:t>International oenological codex silver chloride</w:t>
        </w:r>
      </w:hyperlink>
      <w:r w:rsidR="00891DC8" w:rsidRPr="0017617B">
        <w:rPr>
          <w:sz w:val="20"/>
          <w:szCs w:val="20"/>
          <w:lang w:bidi="ar-SA"/>
        </w:rPr>
        <w:t xml:space="preserve"> COEI-1-CHLARG: 2014.  Accessed 24/11/2016</w:t>
      </w:r>
    </w:p>
    <w:sectPr w:rsidR="00891DC8" w:rsidRPr="0017617B" w:rsidSect="0054272D">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82E9F" w14:textId="77777777" w:rsidR="00E21C51" w:rsidRDefault="00E21C51">
      <w:r>
        <w:separator/>
      </w:r>
    </w:p>
  </w:endnote>
  <w:endnote w:type="continuationSeparator" w:id="0">
    <w:p w14:paraId="59217DE6" w14:textId="77777777" w:rsidR="00E21C51" w:rsidRDefault="00E21C51">
      <w:r>
        <w:continuationSeparator/>
      </w:r>
    </w:p>
  </w:endnote>
  <w:endnote w:type="continuationNotice" w:id="1">
    <w:p w14:paraId="5BC148B5" w14:textId="77777777" w:rsidR="00E21C51" w:rsidRDefault="00E21C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EA9E5" w14:textId="77777777" w:rsidR="003F2385" w:rsidRDefault="003F2385"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58AE9A" w14:textId="77777777" w:rsidR="003F2385" w:rsidRDefault="003F23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552659"/>
      <w:docPartObj>
        <w:docPartGallery w:val="Page Numbers (Bottom of Page)"/>
        <w:docPartUnique/>
      </w:docPartObj>
    </w:sdtPr>
    <w:sdtEndPr>
      <w:rPr>
        <w:noProof/>
      </w:rPr>
    </w:sdtEndPr>
    <w:sdtContent>
      <w:p w14:paraId="1BF256E2" w14:textId="0E4DA3AF" w:rsidR="003F2385" w:rsidRDefault="003F2385" w:rsidP="009B7EF8">
        <w:pPr>
          <w:pStyle w:val="Footer"/>
          <w:jc w:val="center"/>
        </w:pPr>
        <w:r>
          <w:fldChar w:fldCharType="begin"/>
        </w:r>
        <w:r>
          <w:instrText xml:space="preserve"> PAGE   \* MERGEFORMAT </w:instrText>
        </w:r>
        <w:r>
          <w:fldChar w:fldCharType="separate"/>
        </w:r>
        <w:r w:rsidR="000E611C">
          <w:rPr>
            <w:noProof/>
          </w:rPr>
          <w:t>i</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158B5B" w14:textId="77777777" w:rsidR="00E21C51" w:rsidRDefault="00E21C51">
      <w:r>
        <w:separator/>
      </w:r>
    </w:p>
  </w:footnote>
  <w:footnote w:type="continuationSeparator" w:id="0">
    <w:p w14:paraId="018FF5C2" w14:textId="77777777" w:rsidR="00E21C51" w:rsidRDefault="00E21C51">
      <w:r>
        <w:continuationSeparator/>
      </w:r>
    </w:p>
  </w:footnote>
  <w:footnote w:type="continuationNotice" w:id="1">
    <w:p w14:paraId="32E931F8" w14:textId="77777777" w:rsidR="00E21C51" w:rsidRDefault="00E21C51"/>
  </w:footnote>
  <w:footnote w:id="2">
    <w:p w14:paraId="372EBF67" w14:textId="77777777" w:rsidR="003F2385" w:rsidRPr="00883F17" w:rsidRDefault="003F2385">
      <w:pPr>
        <w:pStyle w:val="FootnoteText"/>
        <w:rPr>
          <w:lang w:val="en-AU"/>
        </w:rPr>
      </w:pPr>
      <w:r w:rsidRPr="0017617B">
        <w:rPr>
          <w:rStyle w:val="FootnoteReference"/>
          <w:sz w:val="18"/>
        </w:rPr>
        <w:footnoteRef/>
      </w:r>
      <w:r w:rsidRPr="0017617B">
        <w:rPr>
          <w:sz w:val="18"/>
        </w:rPr>
        <w:t>Named after the element that causes the problem, such as an "ferric (iron) casse" or "copper casse", it is caused when these elements solidify and cloud the affected wine.</w:t>
      </w:r>
    </w:p>
  </w:footnote>
  <w:footnote w:id="3">
    <w:p w14:paraId="177190C3" w14:textId="77777777" w:rsidR="003F2385" w:rsidRPr="00094F7A" w:rsidRDefault="003F2385">
      <w:pPr>
        <w:pStyle w:val="FootnoteText"/>
        <w:rPr>
          <w:lang w:val="en-AU"/>
        </w:rPr>
      </w:pPr>
      <w:r w:rsidRPr="009A7EE3">
        <w:rPr>
          <w:rStyle w:val="FootnoteReference"/>
          <w:sz w:val="18"/>
        </w:rPr>
        <w:footnoteRef/>
      </w:r>
      <w:r w:rsidRPr="009A7EE3">
        <w:rPr>
          <w:sz w:val="18"/>
        </w:rPr>
        <w:t xml:space="preserve"> Pinking may be a result of highly reductive conditions experienced during processing. When the wine is subsequently exposed to air the wine becomes pink.</w:t>
      </w:r>
    </w:p>
  </w:footnote>
  <w:footnote w:id="4">
    <w:p w14:paraId="7ACB411C" w14:textId="77777777" w:rsidR="003F2385" w:rsidRPr="003A6EC7" w:rsidRDefault="003F2385">
      <w:pPr>
        <w:pStyle w:val="FootnoteText"/>
        <w:rPr>
          <w:lang w:val="en-AU"/>
        </w:rPr>
      </w:pPr>
      <w:r w:rsidRPr="0017617B">
        <w:rPr>
          <w:rStyle w:val="FootnoteReference"/>
          <w:sz w:val="18"/>
        </w:rPr>
        <w:footnoteRef/>
      </w:r>
      <w:r w:rsidRPr="0017617B">
        <w:rPr>
          <w:sz w:val="18"/>
        </w:rPr>
        <w:t xml:space="preserve"> This is a large group of </w:t>
      </w:r>
      <w:r>
        <w:rPr>
          <w:sz w:val="18"/>
        </w:rPr>
        <w:t>malodorous</w:t>
      </w:r>
      <w:r w:rsidRPr="0017617B">
        <w:rPr>
          <w:sz w:val="18"/>
        </w:rPr>
        <w:t xml:space="preserve"> sulphur compounds</w:t>
      </w:r>
      <w:r>
        <w:rPr>
          <w:sz w:val="18"/>
        </w:rPr>
        <w:t xml:space="preserve"> which are described by terms such as </w:t>
      </w:r>
      <w:r w:rsidRPr="0017617B">
        <w:rPr>
          <w:sz w:val="18"/>
        </w:rPr>
        <w:t>cabbage, struck flint or burnt rubber</w:t>
      </w:r>
      <w:r>
        <w:rPr>
          <w:sz w:val="18"/>
        </w:rPr>
        <w:t>.</w:t>
      </w:r>
    </w:p>
  </w:footnote>
  <w:footnote w:id="5">
    <w:p w14:paraId="628DB8D2" w14:textId="77777777" w:rsidR="003F2385" w:rsidRPr="000126C0" w:rsidRDefault="003F2385">
      <w:pPr>
        <w:pStyle w:val="FootnoteText"/>
        <w:rPr>
          <w:lang w:val="en-AU"/>
        </w:rPr>
      </w:pPr>
      <w:r w:rsidRPr="009A7EE3">
        <w:rPr>
          <w:rStyle w:val="FootnoteReference"/>
          <w:sz w:val="18"/>
        </w:rPr>
        <w:footnoteRef/>
      </w:r>
      <w:r w:rsidRPr="009A7EE3">
        <w:rPr>
          <w:sz w:val="18"/>
        </w:rPr>
        <w:t xml:space="preserve"> </w:t>
      </w:r>
      <w:r w:rsidRPr="009A7EE3">
        <w:rPr>
          <w:sz w:val="18"/>
          <w:lang w:val="en-AU"/>
        </w:rPr>
        <w:t>Refer to Standard 1.3.1 for permitted inert carriers.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9B0E2" w14:textId="77777777" w:rsidR="003F2385" w:rsidRDefault="003F2385">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7D8FD3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6pt;height:15.6pt;visibility:visible;mso-wrap-style:square" o:bullet="t">
        <v:imagedata r:id="rId1" o:title="" cropbottom="16037f" cropleft="1f" cropright="16383f"/>
      </v:shape>
    </w:pict>
  </w:numPicBullet>
  <w:abstractNum w:abstractNumId="0" w15:restartNumberingAfterBreak="0">
    <w:nsid w:val="033D5C00"/>
    <w:multiLevelType w:val="hybridMultilevel"/>
    <w:tmpl w:val="666A82C0"/>
    <w:lvl w:ilvl="0" w:tplc="14090001">
      <w:start w:val="1"/>
      <w:numFmt w:val="bullet"/>
      <w:lvlText w:val=""/>
      <w:lvlJc w:val="left"/>
      <w:pPr>
        <w:ind w:left="1710" w:hanging="360"/>
      </w:pPr>
      <w:rPr>
        <w:rFonts w:ascii="Symbol" w:hAnsi="Symbol" w:hint="default"/>
      </w:rPr>
    </w:lvl>
    <w:lvl w:ilvl="1" w:tplc="14090003" w:tentative="1">
      <w:start w:val="1"/>
      <w:numFmt w:val="bullet"/>
      <w:lvlText w:val="o"/>
      <w:lvlJc w:val="left"/>
      <w:pPr>
        <w:ind w:left="2430" w:hanging="360"/>
      </w:pPr>
      <w:rPr>
        <w:rFonts w:ascii="Courier New" w:hAnsi="Courier New" w:cs="Courier New" w:hint="default"/>
      </w:rPr>
    </w:lvl>
    <w:lvl w:ilvl="2" w:tplc="14090005" w:tentative="1">
      <w:start w:val="1"/>
      <w:numFmt w:val="bullet"/>
      <w:lvlText w:val=""/>
      <w:lvlJc w:val="left"/>
      <w:pPr>
        <w:ind w:left="3150" w:hanging="360"/>
      </w:pPr>
      <w:rPr>
        <w:rFonts w:ascii="Wingdings" w:hAnsi="Wingdings" w:hint="default"/>
      </w:rPr>
    </w:lvl>
    <w:lvl w:ilvl="3" w:tplc="14090001" w:tentative="1">
      <w:start w:val="1"/>
      <w:numFmt w:val="bullet"/>
      <w:lvlText w:val=""/>
      <w:lvlJc w:val="left"/>
      <w:pPr>
        <w:ind w:left="3870" w:hanging="360"/>
      </w:pPr>
      <w:rPr>
        <w:rFonts w:ascii="Symbol" w:hAnsi="Symbol" w:hint="default"/>
      </w:rPr>
    </w:lvl>
    <w:lvl w:ilvl="4" w:tplc="14090003" w:tentative="1">
      <w:start w:val="1"/>
      <w:numFmt w:val="bullet"/>
      <w:lvlText w:val="o"/>
      <w:lvlJc w:val="left"/>
      <w:pPr>
        <w:ind w:left="4590" w:hanging="360"/>
      </w:pPr>
      <w:rPr>
        <w:rFonts w:ascii="Courier New" w:hAnsi="Courier New" w:cs="Courier New" w:hint="default"/>
      </w:rPr>
    </w:lvl>
    <w:lvl w:ilvl="5" w:tplc="14090005" w:tentative="1">
      <w:start w:val="1"/>
      <w:numFmt w:val="bullet"/>
      <w:lvlText w:val=""/>
      <w:lvlJc w:val="left"/>
      <w:pPr>
        <w:ind w:left="5310" w:hanging="360"/>
      </w:pPr>
      <w:rPr>
        <w:rFonts w:ascii="Wingdings" w:hAnsi="Wingdings" w:hint="default"/>
      </w:rPr>
    </w:lvl>
    <w:lvl w:ilvl="6" w:tplc="14090001" w:tentative="1">
      <w:start w:val="1"/>
      <w:numFmt w:val="bullet"/>
      <w:lvlText w:val=""/>
      <w:lvlJc w:val="left"/>
      <w:pPr>
        <w:ind w:left="6030" w:hanging="360"/>
      </w:pPr>
      <w:rPr>
        <w:rFonts w:ascii="Symbol" w:hAnsi="Symbol" w:hint="default"/>
      </w:rPr>
    </w:lvl>
    <w:lvl w:ilvl="7" w:tplc="14090003" w:tentative="1">
      <w:start w:val="1"/>
      <w:numFmt w:val="bullet"/>
      <w:lvlText w:val="o"/>
      <w:lvlJc w:val="left"/>
      <w:pPr>
        <w:ind w:left="6750" w:hanging="360"/>
      </w:pPr>
      <w:rPr>
        <w:rFonts w:ascii="Courier New" w:hAnsi="Courier New" w:cs="Courier New" w:hint="default"/>
      </w:rPr>
    </w:lvl>
    <w:lvl w:ilvl="8" w:tplc="14090005" w:tentative="1">
      <w:start w:val="1"/>
      <w:numFmt w:val="bullet"/>
      <w:lvlText w:val=""/>
      <w:lvlJc w:val="left"/>
      <w:pPr>
        <w:ind w:left="7470" w:hanging="360"/>
      </w:pPr>
      <w:rPr>
        <w:rFonts w:ascii="Wingdings" w:hAnsi="Wingdings" w:hint="default"/>
      </w:rPr>
    </w:lvl>
  </w:abstractNum>
  <w:abstractNum w:abstractNumId="1" w15:restartNumberingAfterBreak="0">
    <w:nsid w:val="040601F4"/>
    <w:multiLevelType w:val="hybridMultilevel"/>
    <w:tmpl w:val="F41ED996"/>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07B136F9"/>
    <w:multiLevelType w:val="hybridMultilevel"/>
    <w:tmpl w:val="466C0160"/>
    <w:lvl w:ilvl="0" w:tplc="14090001">
      <w:start w:val="1"/>
      <w:numFmt w:val="bullet"/>
      <w:lvlText w:val=""/>
      <w:lvlJc w:val="left"/>
      <w:pPr>
        <w:ind w:left="1350" w:hanging="360"/>
      </w:pPr>
      <w:rPr>
        <w:rFonts w:ascii="Symbol" w:hAnsi="Symbol" w:hint="default"/>
      </w:rPr>
    </w:lvl>
    <w:lvl w:ilvl="1" w:tplc="DD42C79E">
      <w:start w:val="2"/>
      <w:numFmt w:val="bullet"/>
      <w:lvlText w:val="-"/>
      <w:lvlJc w:val="left"/>
      <w:pPr>
        <w:ind w:left="2070" w:hanging="360"/>
      </w:pPr>
      <w:rPr>
        <w:rFonts w:ascii="Arial" w:eastAsia="Times New Roman" w:hAnsi="Arial" w:cs="Arial" w:hint="default"/>
      </w:rPr>
    </w:lvl>
    <w:lvl w:ilvl="2" w:tplc="14090005">
      <w:start w:val="1"/>
      <w:numFmt w:val="bullet"/>
      <w:lvlText w:val=""/>
      <w:lvlJc w:val="left"/>
      <w:pPr>
        <w:ind w:left="2790" w:hanging="360"/>
      </w:pPr>
      <w:rPr>
        <w:rFonts w:ascii="Wingdings" w:hAnsi="Wingdings" w:hint="default"/>
      </w:rPr>
    </w:lvl>
    <w:lvl w:ilvl="3" w:tplc="14090001">
      <w:start w:val="1"/>
      <w:numFmt w:val="bullet"/>
      <w:lvlText w:val=""/>
      <w:lvlJc w:val="left"/>
      <w:pPr>
        <w:ind w:left="3510" w:hanging="360"/>
      </w:pPr>
      <w:rPr>
        <w:rFonts w:ascii="Symbol" w:hAnsi="Symbol" w:hint="default"/>
      </w:rPr>
    </w:lvl>
    <w:lvl w:ilvl="4" w:tplc="14090003">
      <w:start w:val="1"/>
      <w:numFmt w:val="bullet"/>
      <w:lvlText w:val="o"/>
      <w:lvlJc w:val="left"/>
      <w:pPr>
        <w:ind w:left="4230" w:hanging="360"/>
      </w:pPr>
      <w:rPr>
        <w:rFonts w:ascii="Courier New" w:hAnsi="Courier New" w:cs="Courier New" w:hint="default"/>
      </w:rPr>
    </w:lvl>
    <w:lvl w:ilvl="5" w:tplc="14090005">
      <w:start w:val="1"/>
      <w:numFmt w:val="bullet"/>
      <w:lvlText w:val=""/>
      <w:lvlJc w:val="left"/>
      <w:pPr>
        <w:ind w:left="4950" w:hanging="360"/>
      </w:pPr>
      <w:rPr>
        <w:rFonts w:ascii="Wingdings" w:hAnsi="Wingdings" w:hint="default"/>
      </w:rPr>
    </w:lvl>
    <w:lvl w:ilvl="6" w:tplc="14090001">
      <w:start w:val="1"/>
      <w:numFmt w:val="bullet"/>
      <w:lvlText w:val=""/>
      <w:lvlJc w:val="left"/>
      <w:pPr>
        <w:ind w:left="5670" w:hanging="360"/>
      </w:pPr>
      <w:rPr>
        <w:rFonts w:ascii="Symbol" w:hAnsi="Symbol" w:hint="default"/>
      </w:rPr>
    </w:lvl>
    <w:lvl w:ilvl="7" w:tplc="14090003">
      <w:start w:val="1"/>
      <w:numFmt w:val="bullet"/>
      <w:lvlText w:val="o"/>
      <w:lvlJc w:val="left"/>
      <w:pPr>
        <w:ind w:left="6390" w:hanging="360"/>
      </w:pPr>
      <w:rPr>
        <w:rFonts w:ascii="Courier New" w:hAnsi="Courier New" w:cs="Courier New" w:hint="default"/>
      </w:rPr>
    </w:lvl>
    <w:lvl w:ilvl="8" w:tplc="14090005">
      <w:start w:val="1"/>
      <w:numFmt w:val="bullet"/>
      <w:lvlText w:val=""/>
      <w:lvlJc w:val="left"/>
      <w:pPr>
        <w:ind w:left="7110" w:hanging="360"/>
      </w:pPr>
      <w:rPr>
        <w:rFonts w:ascii="Wingdings" w:hAnsi="Wingdings" w:hint="default"/>
      </w:rPr>
    </w:lvl>
  </w:abstractNum>
  <w:abstractNum w:abstractNumId="3" w15:restartNumberingAfterBreak="0">
    <w:nsid w:val="07C42460"/>
    <w:multiLevelType w:val="hybridMultilevel"/>
    <w:tmpl w:val="57305C9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977503C"/>
    <w:multiLevelType w:val="hybridMultilevel"/>
    <w:tmpl w:val="526ED9A0"/>
    <w:lvl w:ilvl="0" w:tplc="14090001">
      <w:start w:val="1"/>
      <w:numFmt w:val="bullet"/>
      <w:lvlText w:val=""/>
      <w:lvlJc w:val="left"/>
      <w:pPr>
        <w:ind w:left="1287" w:hanging="360"/>
      </w:pPr>
      <w:rPr>
        <w:rFonts w:ascii="Symbol" w:hAnsi="Symbol" w:hint="default"/>
      </w:rPr>
    </w:lvl>
    <w:lvl w:ilvl="1" w:tplc="14090003">
      <w:start w:val="1"/>
      <w:numFmt w:val="bullet"/>
      <w:lvlText w:val="o"/>
      <w:lvlJc w:val="left"/>
      <w:pPr>
        <w:ind w:left="2007" w:hanging="360"/>
      </w:pPr>
      <w:rPr>
        <w:rFonts w:ascii="Courier New" w:hAnsi="Courier New" w:cs="Courier New" w:hint="default"/>
      </w:rPr>
    </w:lvl>
    <w:lvl w:ilvl="2" w:tplc="14090005">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5" w15:restartNumberingAfterBreak="0">
    <w:nsid w:val="0DD72E2E"/>
    <w:multiLevelType w:val="hybridMultilevel"/>
    <w:tmpl w:val="4AFAC1FC"/>
    <w:lvl w:ilvl="0" w:tplc="14090001">
      <w:start w:val="1"/>
      <w:numFmt w:val="bullet"/>
      <w:lvlText w:val=""/>
      <w:lvlJc w:val="left"/>
      <w:pPr>
        <w:ind w:left="1287" w:hanging="360"/>
      </w:pPr>
      <w:rPr>
        <w:rFonts w:ascii="Symbol" w:hAnsi="Symbol" w:hint="default"/>
      </w:rPr>
    </w:lvl>
    <w:lvl w:ilvl="1" w:tplc="14090001">
      <w:start w:val="1"/>
      <w:numFmt w:val="bullet"/>
      <w:lvlText w:val=""/>
      <w:lvlJc w:val="left"/>
      <w:pPr>
        <w:ind w:left="2007" w:hanging="360"/>
      </w:pPr>
      <w:rPr>
        <w:rFonts w:ascii="Symbol" w:hAnsi="Symbol" w:hint="default"/>
      </w:rPr>
    </w:lvl>
    <w:lvl w:ilvl="2" w:tplc="14090005">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6" w15:restartNumberingAfterBreak="0">
    <w:nsid w:val="0EFB6009"/>
    <w:multiLevelType w:val="hybridMultilevel"/>
    <w:tmpl w:val="1996CF06"/>
    <w:lvl w:ilvl="0" w:tplc="14090001">
      <w:start w:val="1"/>
      <w:numFmt w:val="bullet"/>
      <w:lvlText w:val=""/>
      <w:lvlJc w:val="left"/>
      <w:pPr>
        <w:ind w:left="1350" w:hanging="360"/>
      </w:pPr>
      <w:rPr>
        <w:rFonts w:ascii="Symbol" w:hAnsi="Symbol" w:hint="default"/>
      </w:rPr>
    </w:lvl>
    <w:lvl w:ilvl="1" w:tplc="14090003">
      <w:start w:val="1"/>
      <w:numFmt w:val="bullet"/>
      <w:lvlText w:val="o"/>
      <w:lvlJc w:val="left"/>
      <w:pPr>
        <w:ind w:left="2070" w:hanging="360"/>
      </w:pPr>
      <w:rPr>
        <w:rFonts w:ascii="Courier New" w:hAnsi="Courier New" w:cs="Courier New" w:hint="default"/>
      </w:rPr>
    </w:lvl>
    <w:lvl w:ilvl="2" w:tplc="14090005">
      <w:start w:val="1"/>
      <w:numFmt w:val="bullet"/>
      <w:lvlText w:val=""/>
      <w:lvlJc w:val="left"/>
      <w:pPr>
        <w:ind w:left="2790" w:hanging="360"/>
      </w:pPr>
      <w:rPr>
        <w:rFonts w:ascii="Wingdings" w:hAnsi="Wingdings" w:hint="default"/>
      </w:rPr>
    </w:lvl>
    <w:lvl w:ilvl="3" w:tplc="14090001">
      <w:start w:val="1"/>
      <w:numFmt w:val="bullet"/>
      <w:lvlText w:val=""/>
      <w:lvlJc w:val="left"/>
      <w:pPr>
        <w:ind w:left="3510" w:hanging="360"/>
      </w:pPr>
      <w:rPr>
        <w:rFonts w:ascii="Symbol" w:hAnsi="Symbol" w:hint="default"/>
      </w:rPr>
    </w:lvl>
    <w:lvl w:ilvl="4" w:tplc="14090003">
      <w:start w:val="1"/>
      <w:numFmt w:val="bullet"/>
      <w:lvlText w:val="o"/>
      <w:lvlJc w:val="left"/>
      <w:pPr>
        <w:ind w:left="4230" w:hanging="360"/>
      </w:pPr>
      <w:rPr>
        <w:rFonts w:ascii="Courier New" w:hAnsi="Courier New" w:cs="Courier New" w:hint="default"/>
      </w:rPr>
    </w:lvl>
    <w:lvl w:ilvl="5" w:tplc="14090005">
      <w:start w:val="1"/>
      <w:numFmt w:val="bullet"/>
      <w:lvlText w:val=""/>
      <w:lvlJc w:val="left"/>
      <w:pPr>
        <w:ind w:left="4950" w:hanging="360"/>
      </w:pPr>
      <w:rPr>
        <w:rFonts w:ascii="Wingdings" w:hAnsi="Wingdings" w:hint="default"/>
      </w:rPr>
    </w:lvl>
    <w:lvl w:ilvl="6" w:tplc="14090001">
      <w:start w:val="1"/>
      <w:numFmt w:val="bullet"/>
      <w:lvlText w:val=""/>
      <w:lvlJc w:val="left"/>
      <w:pPr>
        <w:ind w:left="5670" w:hanging="360"/>
      </w:pPr>
      <w:rPr>
        <w:rFonts w:ascii="Symbol" w:hAnsi="Symbol" w:hint="default"/>
      </w:rPr>
    </w:lvl>
    <w:lvl w:ilvl="7" w:tplc="14090003">
      <w:start w:val="1"/>
      <w:numFmt w:val="bullet"/>
      <w:lvlText w:val="o"/>
      <w:lvlJc w:val="left"/>
      <w:pPr>
        <w:ind w:left="6390" w:hanging="360"/>
      </w:pPr>
      <w:rPr>
        <w:rFonts w:ascii="Courier New" w:hAnsi="Courier New" w:cs="Courier New" w:hint="default"/>
      </w:rPr>
    </w:lvl>
    <w:lvl w:ilvl="8" w:tplc="14090005">
      <w:start w:val="1"/>
      <w:numFmt w:val="bullet"/>
      <w:lvlText w:val=""/>
      <w:lvlJc w:val="left"/>
      <w:pPr>
        <w:ind w:left="7110" w:hanging="360"/>
      </w:pPr>
      <w:rPr>
        <w:rFonts w:ascii="Wingdings" w:hAnsi="Wingdings" w:hint="default"/>
      </w:rPr>
    </w:lvl>
  </w:abstractNum>
  <w:abstractNum w:abstractNumId="7"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12F6181F"/>
    <w:multiLevelType w:val="multilevel"/>
    <w:tmpl w:val="604835DA"/>
    <w:lvl w:ilvl="0">
      <w:start w:val="1"/>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D438DB"/>
    <w:multiLevelType w:val="hybridMultilevel"/>
    <w:tmpl w:val="E9D4F4DE"/>
    <w:lvl w:ilvl="0" w:tplc="14090001">
      <w:start w:val="1"/>
      <w:numFmt w:val="bullet"/>
      <w:lvlText w:val=""/>
      <w:lvlJc w:val="left"/>
      <w:pPr>
        <w:ind w:left="1350" w:hanging="360"/>
      </w:pPr>
      <w:rPr>
        <w:rFonts w:ascii="Symbol" w:hAnsi="Symbol" w:hint="default"/>
      </w:rPr>
    </w:lvl>
    <w:lvl w:ilvl="1" w:tplc="DD42C79E">
      <w:start w:val="2"/>
      <w:numFmt w:val="bullet"/>
      <w:lvlText w:val="-"/>
      <w:lvlJc w:val="left"/>
      <w:pPr>
        <w:ind w:left="2070" w:hanging="360"/>
      </w:pPr>
      <w:rPr>
        <w:rFonts w:ascii="Arial" w:eastAsia="Times New Roman" w:hAnsi="Arial" w:cs="Arial" w:hint="default"/>
      </w:rPr>
    </w:lvl>
    <w:lvl w:ilvl="2" w:tplc="14090005">
      <w:start w:val="1"/>
      <w:numFmt w:val="bullet"/>
      <w:lvlText w:val=""/>
      <w:lvlJc w:val="left"/>
      <w:pPr>
        <w:ind w:left="2790" w:hanging="360"/>
      </w:pPr>
      <w:rPr>
        <w:rFonts w:ascii="Wingdings" w:hAnsi="Wingdings" w:hint="default"/>
      </w:rPr>
    </w:lvl>
    <w:lvl w:ilvl="3" w:tplc="14090001">
      <w:start w:val="1"/>
      <w:numFmt w:val="bullet"/>
      <w:lvlText w:val=""/>
      <w:lvlJc w:val="left"/>
      <w:pPr>
        <w:ind w:left="3510" w:hanging="360"/>
      </w:pPr>
      <w:rPr>
        <w:rFonts w:ascii="Symbol" w:hAnsi="Symbol" w:hint="default"/>
      </w:rPr>
    </w:lvl>
    <w:lvl w:ilvl="4" w:tplc="14090003">
      <w:start w:val="1"/>
      <w:numFmt w:val="bullet"/>
      <w:lvlText w:val="o"/>
      <w:lvlJc w:val="left"/>
      <w:pPr>
        <w:ind w:left="4230" w:hanging="360"/>
      </w:pPr>
      <w:rPr>
        <w:rFonts w:ascii="Courier New" w:hAnsi="Courier New" w:cs="Courier New" w:hint="default"/>
      </w:rPr>
    </w:lvl>
    <w:lvl w:ilvl="5" w:tplc="14090005">
      <w:start w:val="1"/>
      <w:numFmt w:val="bullet"/>
      <w:lvlText w:val=""/>
      <w:lvlJc w:val="left"/>
      <w:pPr>
        <w:ind w:left="4950" w:hanging="360"/>
      </w:pPr>
      <w:rPr>
        <w:rFonts w:ascii="Wingdings" w:hAnsi="Wingdings" w:hint="default"/>
      </w:rPr>
    </w:lvl>
    <w:lvl w:ilvl="6" w:tplc="14090001">
      <w:start w:val="1"/>
      <w:numFmt w:val="bullet"/>
      <w:lvlText w:val=""/>
      <w:lvlJc w:val="left"/>
      <w:pPr>
        <w:ind w:left="5670" w:hanging="360"/>
      </w:pPr>
      <w:rPr>
        <w:rFonts w:ascii="Symbol" w:hAnsi="Symbol" w:hint="default"/>
      </w:rPr>
    </w:lvl>
    <w:lvl w:ilvl="7" w:tplc="14090003">
      <w:start w:val="1"/>
      <w:numFmt w:val="bullet"/>
      <w:lvlText w:val="o"/>
      <w:lvlJc w:val="left"/>
      <w:pPr>
        <w:ind w:left="6390" w:hanging="360"/>
      </w:pPr>
      <w:rPr>
        <w:rFonts w:ascii="Courier New" w:hAnsi="Courier New" w:cs="Courier New" w:hint="default"/>
      </w:rPr>
    </w:lvl>
    <w:lvl w:ilvl="8" w:tplc="14090005">
      <w:start w:val="1"/>
      <w:numFmt w:val="bullet"/>
      <w:lvlText w:val=""/>
      <w:lvlJc w:val="left"/>
      <w:pPr>
        <w:ind w:left="7110" w:hanging="360"/>
      </w:pPr>
      <w:rPr>
        <w:rFonts w:ascii="Wingdings" w:hAnsi="Wingdings" w:hint="default"/>
      </w:rPr>
    </w:lvl>
  </w:abstractNum>
  <w:abstractNum w:abstractNumId="10" w15:restartNumberingAfterBreak="0">
    <w:nsid w:val="1A2C3028"/>
    <w:multiLevelType w:val="multilevel"/>
    <w:tmpl w:val="3050DD9C"/>
    <w:lvl w:ilvl="0">
      <w:start w:val="1"/>
      <w:numFmt w:val="decimal"/>
      <w:lvlText w:val="%1."/>
      <w:lvlJc w:val="left"/>
      <w:pPr>
        <w:ind w:left="720" w:hanging="360"/>
      </w:pPr>
    </w:lvl>
    <w:lvl w:ilvl="1">
      <w:start w:val="1"/>
      <w:numFmt w:val="decimal"/>
      <w:isLgl/>
      <w:lvlText w:val="%1.%2"/>
      <w:lvlJc w:val="left"/>
      <w:pPr>
        <w:ind w:left="102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C3B405F"/>
    <w:multiLevelType w:val="multilevel"/>
    <w:tmpl w:val="3050DD9C"/>
    <w:lvl w:ilvl="0">
      <w:start w:val="1"/>
      <w:numFmt w:val="decimal"/>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5D04DA3"/>
    <w:multiLevelType w:val="hybridMultilevel"/>
    <w:tmpl w:val="623023AC"/>
    <w:lvl w:ilvl="0" w:tplc="14090001">
      <w:start w:val="1"/>
      <w:numFmt w:val="bullet"/>
      <w:lvlText w:val=""/>
      <w:lvlJc w:val="left"/>
      <w:pPr>
        <w:ind w:left="1287" w:hanging="360"/>
      </w:pPr>
      <w:rPr>
        <w:rFonts w:ascii="Symbol" w:hAnsi="Symbol" w:hint="default"/>
      </w:rPr>
    </w:lvl>
    <w:lvl w:ilvl="1" w:tplc="14090003">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3"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CE3239"/>
    <w:multiLevelType w:val="hybridMultilevel"/>
    <w:tmpl w:val="E1202F06"/>
    <w:lvl w:ilvl="0" w:tplc="14090001">
      <w:start w:val="1"/>
      <w:numFmt w:val="bullet"/>
      <w:lvlText w:val=""/>
      <w:lvlJc w:val="left"/>
      <w:pPr>
        <w:ind w:left="1287" w:hanging="360"/>
      </w:pPr>
      <w:rPr>
        <w:rFonts w:ascii="Symbol" w:hAnsi="Symbol" w:hint="default"/>
      </w:rPr>
    </w:lvl>
    <w:lvl w:ilvl="1" w:tplc="DD42C79E">
      <w:start w:val="2"/>
      <w:numFmt w:val="bullet"/>
      <w:lvlText w:val="-"/>
      <w:lvlJc w:val="left"/>
      <w:pPr>
        <w:ind w:left="2007" w:hanging="360"/>
      </w:pPr>
      <w:rPr>
        <w:rFonts w:ascii="Arial" w:eastAsia="Times New Roman" w:hAnsi="Arial" w:cs="Arial" w:hint="default"/>
      </w:rPr>
    </w:lvl>
    <w:lvl w:ilvl="2" w:tplc="14090005">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5" w15:restartNumberingAfterBreak="0">
    <w:nsid w:val="3B392CB3"/>
    <w:multiLevelType w:val="hybridMultilevel"/>
    <w:tmpl w:val="150A71C2"/>
    <w:lvl w:ilvl="0" w:tplc="14090001">
      <w:start w:val="1"/>
      <w:numFmt w:val="bullet"/>
      <w:lvlText w:val=""/>
      <w:lvlJc w:val="left"/>
      <w:pPr>
        <w:ind w:left="1358" w:hanging="360"/>
      </w:pPr>
      <w:rPr>
        <w:rFonts w:ascii="Symbol" w:hAnsi="Symbol" w:hint="default"/>
      </w:rPr>
    </w:lvl>
    <w:lvl w:ilvl="1" w:tplc="14090003" w:tentative="1">
      <w:start w:val="1"/>
      <w:numFmt w:val="bullet"/>
      <w:lvlText w:val="o"/>
      <w:lvlJc w:val="left"/>
      <w:pPr>
        <w:ind w:left="2078" w:hanging="360"/>
      </w:pPr>
      <w:rPr>
        <w:rFonts w:ascii="Courier New" w:hAnsi="Courier New" w:cs="Courier New" w:hint="default"/>
      </w:rPr>
    </w:lvl>
    <w:lvl w:ilvl="2" w:tplc="14090005" w:tentative="1">
      <w:start w:val="1"/>
      <w:numFmt w:val="bullet"/>
      <w:lvlText w:val=""/>
      <w:lvlJc w:val="left"/>
      <w:pPr>
        <w:ind w:left="2798" w:hanging="360"/>
      </w:pPr>
      <w:rPr>
        <w:rFonts w:ascii="Wingdings" w:hAnsi="Wingdings" w:hint="default"/>
      </w:rPr>
    </w:lvl>
    <w:lvl w:ilvl="3" w:tplc="14090001" w:tentative="1">
      <w:start w:val="1"/>
      <w:numFmt w:val="bullet"/>
      <w:lvlText w:val=""/>
      <w:lvlJc w:val="left"/>
      <w:pPr>
        <w:ind w:left="3518" w:hanging="360"/>
      </w:pPr>
      <w:rPr>
        <w:rFonts w:ascii="Symbol" w:hAnsi="Symbol" w:hint="default"/>
      </w:rPr>
    </w:lvl>
    <w:lvl w:ilvl="4" w:tplc="14090003" w:tentative="1">
      <w:start w:val="1"/>
      <w:numFmt w:val="bullet"/>
      <w:lvlText w:val="o"/>
      <w:lvlJc w:val="left"/>
      <w:pPr>
        <w:ind w:left="4238" w:hanging="360"/>
      </w:pPr>
      <w:rPr>
        <w:rFonts w:ascii="Courier New" w:hAnsi="Courier New" w:cs="Courier New" w:hint="default"/>
      </w:rPr>
    </w:lvl>
    <w:lvl w:ilvl="5" w:tplc="14090005" w:tentative="1">
      <w:start w:val="1"/>
      <w:numFmt w:val="bullet"/>
      <w:lvlText w:val=""/>
      <w:lvlJc w:val="left"/>
      <w:pPr>
        <w:ind w:left="4958" w:hanging="360"/>
      </w:pPr>
      <w:rPr>
        <w:rFonts w:ascii="Wingdings" w:hAnsi="Wingdings" w:hint="default"/>
      </w:rPr>
    </w:lvl>
    <w:lvl w:ilvl="6" w:tplc="14090001" w:tentative="1">
      <w:start w:val="1"/>
      <w:numFmt w:val="bullet"/>
      <w:lvlText w:val=""/>
      <w:lvlJc w:val="left"/>
      <w:pPr>
        <w:ind w:left="5678" w:hanging="360"/>
      </w:pPr>
      <w:rPr>
        <w:rFonts w:ascii="Symbol" w:hAnsi="Symbol" w:hint="default"/>
      </w:rPr>
    </w:lvl>
    <w:lvl w:ilvl="7" w:tplc="14090003" w:tentative="1">
      <w:start w:val="1"/>
      <w:numFmt w:val="bullet"/>
      <w:lvlText w:val="o"/>
      <w:lvlJc w:val="left"/>
      <w:pPr>
        <w:ind w:left="6398" w:hanging="360"/>
      </w:pPr>
      <w:rPr>
        <w:rFonts w:ascii="Courier New" w:hAnsi="Courier New" w:cs="Courier New" w:hint="default"/>
      </w:rPr>
    </w:lvl>
    <w:lvl w:ilvl="8" w:tplc="14090005" w:tentative="1">
      <w:start w:val="1"/>
      <w:numFmt w:val="bullet"/>
      <w:lvlText w:val=""/>
      <w:lvlJc w:val="left"/>
      <w:pPr>
        <w:ind w:left="7118" w:hanging="360"/>
      </w:pPr>
      <w:rPr>
        <w:rFonts w:ascii="Wingdings" w:hAnsi="Wingdings" w:hint="default"/>
      </w:rPr>
    </w:lvl>
  </w:abstractNum>
  <w:abstractNum w:abstractNumId="16" w15:restartNumberingAfterBreak="0">
    <w:nsid w:val="3BA14D1E"/>
    <w:multiLevelType w:val="multilevel"/>
    <w:tmpl w:val="3050DD9C"/>
    <w:lvl w:ilvl="0">
      <w:start w:val="1"/>
      <w:numFmt w:val="decimal"/>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D30A68"/>
    <w:multiLevelType w:val="hybridMultilevel"/>
    <w:tmpl w:val="CAC220B4"/>
    <w:lvl w:ilvl="0" w:tplc="14090001">
      <w:start w:val="1"/>
      <w:numFmt w:val="bullet"/>
      <w:lvlText w:val=""/>
      <w:lvlJc w:val="left"/>
      <w:pPr>
        <w:ind w:left="1350" w:hanging="360"/>
      </w:pPr>
      <w:rPr>
        <w:rFonts w:ascii="Symbol" w:hAnsi="Symbol" w:hint="default"/>
      </w:rPr>
    </w:lvl>
    <w:lvl w:ilvl="1" w:tplc="DD42C79E">
      <w:start w:val="2"/>
      <w:numFmt w:val="bullet"/>
      <w:lvlText w:val="-"/>
      <w:lvlJc w:val="left"/>
      <w:pPr>
        <w:ind w:left="2070" w:hanging="360"/>
      </w:pPr>
      <w:rPr>
        <w:rFonts w:ascii="Arial" w:eastAsia="Times New Roman" w:hAnsi="Arial" w:cs="Arial" w:hint="default"/>
      </w:rPr>
    </w:lvl>
    <w:lvl w:ilvl="2" w:tplc="14090005" w:tentative="1">
      <w:start w:val="1"/>
      <w:numFmt w:val="bullet"/>
      <w:lvlText w:val=""/>
      <w:lvlJc w:val="left"/>
      <w:pPr>
        <w:ind w:left="2790" w:hanging="360"/>
      </w:pPr>
      <w:rPr>
        <w:rFonts w:ascii="Wingdings" w:hAnsi="Wingdings" w:hint="default"/>
      </w:rPr>
    </w:lvl>
    <w:lvl w:ilvl="3" w:tplc="14090001" w:tentative="1">
      <w:start w:val="1"/>
      <w:numFmt w:val="bullet"/>
      <w:lvlText w:val=""/>
      <w:lvlJc w:val="left"/>
      <w:pPr>
        <w:ind w:left="3510" w:hanging="360"/>
      </w:pPr>
      <w:rPr>
        <w:rFonts w:ascii="Symbol" w:hAnsi="Symbol" w:hint="default"/>
      </w:rPr>
    </w:lvl>
    <w:lvl w:ilvl="4" w:tplc="14090003" w:tentative="1">
      <w:start w:val="1"/>
      <w:numFmt w:val="bullet"/>
      <w:lvlText w:val="o"/>
      <w:lvlJc w:val="left"/>
      <w:pPr>
        <w:ind w:left="4230" w:hanging="360"/>
      </w:pPr>
      <w:rPr>
        <w:rFonts w:ascii="Courier New" w:hAnsi="Courier New" w:cs="Courier New" w:hint="default"/>
      </w:rPr>
    </w:lvl>
    <w:lvl w:ilvl="5" w:tplc="14090005" w:tentative="1">
      <w:start w:val="1"/>
      <w:numFmt w:val="bullet"/>
      <w:lvlText w:val=""/>
      <w:lvlJc w:val="left"/>
      <w:pPr>
        <w:ind w:left="4950" w:hanging="360"/>
      </w:pPr>
      <w:rPr>
        <w:rFonts w:ascii="Wingdings" w:hAnsi="Wingdings" w:hint="default"/>
      </w:rPr>
    </w:lvl>
    <w:lvl w:ilvl="6" w:tplc="14090001" w:tentative="1">
      <w:start w:val="1"/>
      <w:numFmt w:val="bullet"/>
      <w:lvlText w:val=""/>
      <w:lvlJc w:val="left"/>
      <w:pPr>
        <w:ind w:left="5670" w:hanging="360"/>
      </w:pPr>
      <w:rPr>
        <w:rFonts w:ascii="Symbol" w:hAnsi="Symbol" w:hint="default"/>
      </w:rPr>
    </w:lvl>
    <w:lvl w:ilvl="7" w:tplc="14090003" w:tentative="1">
      <w:start w:val="1"/>
      <w:numFmt w:val="bullet"/>
      <w:lvlText w:val="o"/>
      <w:lvlJc w:val="left"/>
      <w:pPr>
        <w:ind w:left="6390" w:hanging="360"/>
      </w:pPr>
      <w:rPr>
        <w:rFonts w:ascii="Courier New" w:hAnsi="Courier New" w:cs="Courier New" w:hint="default"/>
      </w:rPr>
    </w:lvl>
    <w:lvl w:ilvl="8" w:tplc="14090005" w:tentative="1">
      <w:start w:val="1"/>
      <w:numFmt w:val="bullet"/>
      <w:lvlText w:val=""/>
      <w:lvlJc w:val="left"/>
      <w:pPr>
        <w:ind w:left="7110" w:hanging="360"/>
      </w:pPr>
      <w:rPr>
        <w:rFonts w:ascii="Wingdings" w:hAnsi="Wingdings" w:hint="default"/>
      </w:rPr>
    </w:lvl>
  </w:abstractNum>
  <w:abstractNum w:abstractNumId="18"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49BC0886"/>
    <w:multiLevelType w:val="hybridMultilevel"/>
    <w:tmpl w:val="53D20C04"/>
    <w:lvl w:ilvl="0" w:tplc="14090001">
      <w:start w:val="1"/>
      <w:numFmt w:val="bullet"/>
      <w:lvlText w:val=""/>
      <w:lvlJc w:val="left"/>
      <w:pPr>
        <w:ind w:left="762" w:hanging="360"/>
      </w:pPr>
      <w:rPr>
        <w:rFonts w:ascii="Symbol" w:hAnsi="Symbol" w:hint="default"/>
      </w:rPr>
    </w:lvl>
    <w:lvl w:ilvl="1" w:tplc="14090003" w:tentative="1">
      <w:start w:val="1"/>
      <w:numFmt w:val="bullet"/>
      <w:lvlText w:val="o"/>
      <w:lvlJc w:val="left"/>
      <w:pPr>
        <w:ind w:left="1482" w:hanging="360"/>
      </w:pPr>
      <w:rPr>
        <w:rFonts w:ascii="Courier New" w:hAnsi="Courier New" w:cs="Courier New" w:hint="default"/>
      </w:rPr>
    </w:lvl>
    <w:lvl w:ilvl="2" w:tplc="14090005" w:tentative="1">
      <w:start w:val="1"/>
      <w:numFmt w:val="bullet"/>
      <w:lvlText w:val=""/>
      <w:lvlJc w:val="left"/>
      <w:pPr>
        <w:ind w:left="2202" w:hanging="360"/>
      </w:pPr>
      <w:rPr>
        <w:rFonts w:ascii="Wingdings" w:hAnsi="Wingdings" w:hint="default"/>
      </w:rPr>
    </w:lvl>
    <w:lvl w:ilvl="3" w:tplc="14090001" w:tentative="1">
      <w:start w:val="1"/>
      <w:numFmt w:val="bullet"/>
      <w:lvlText w:val=""/>
      <w:lvlJc w:val="left"/>
      <w:pPr>
        <w:ind w:left="2922" w:hanging="360"/>
      </w:pPr>
      <w:rPr>
        <w:rFonts w:ascii="Symbol" w:hAnsi="Symbol" w:hint="default"/>
      </w:rPr>
    </w:lvl>
    <w:lvl w:ilvl="4" w:tplc="14090003" w:tentative="1">
      <w:start w:val="1"/>
      <w:numFmt w:val="bullet"/>
      <w:lvlText w:val="o"/>
      <w:lvlJc w:val="left"/>
      <w:pPr>
        <w:ind w:left="3642" w:hanging="360"/>
      </w:pPr>
      <w:rPr>
        <w:rFonts w:ascii="Courier New" w:hAnsi="Courier New" w:cs="Courier New" w:hint="default"/>
      </w:rPr>
    </w:lvl>
    <w:lvl w:ilvl="5" w:tplc="14090005" w:tentative="1">
      <w:start w:val="1"/>
      <w:numFmt w:val="bullet"/>
      <w:lvlText w:val=""/>
      <w:lvlJc w:val="left"/>
      <w:pPr>
        <w:ind w:left="4362" w:hanging="360"/>
      </w:pPr>
      <w:rPr>
        <w:rFonts w:ascii="Wingdings" w:hAnsi="Wingdings" w:hint="default"/>
      </w:rPr>
    </w:lvl>
    <w:lvl w:ilvl="6" w:tplc="14090001" w:tentative="1">
      <w:start w:val="1"/>
      <w:numFmt w:val="bullet"/>
      <w:lvlText w:val=""/>
      <w:lvlJc w:val="left"/>
      <w:pPr>
        <w:ind w:left="5082" w:hanging="360"/>
      </w:pPr>
      <w:rPr>
        <w:rFonts w:ascii="Symbol" w:hAnsi="Symbol" w:hint="default"/>
      </w:rPr>
    </w:lvl>
    <w:lvl w:ilvl="7" w:tplc="14090003" w:tentative="1">
      <w:start w:val="1"/>
      <w:numFmt w:val="bullet"/>
      <w:lvlText w:val="o"/>
      <w:lvlJc w:val="left"/>
      <w:pPr>
        <w:ind w:left="5802" w:hanging="360"/>
      </w:pPr>
      <w:rPr>
        <w:rFonts w:ascii="Courier New" w:hAnsi="Courier New" w:cs="Courier New" w:hint="default"/>
      </w:rPr>
    </w:lvl>
    <w:lvl w:ilvl="8" w:tplc="14090005" w:tentative="1">
      <w:start w:val="1"/>
      <w:numFmt w:val="bullet"/>
      <w:lvlText w:val=""/>
      <w:lvlJc w:val="left"/>
      <w:pPr>
        <w:ind w:left="6522" w:hanging="360"/>
      </w:pPr>
      <w:rPr>
        <w:rFonts w:ascii="Wingdings" w:hAnsi="Wingdings" w:hint="default"/>
      </w:rPr>
    </w:lvl>
  </w:abstractNum>
  <w:abstractNum w:abstractNumId="20" w15:restartNumberingAfterBreak="0">
    <w:nsid w:val="582A153E"/>
    <w:multiLevelType w:val="multilevel"/>
    <w:tmpl w:val="3050DD9C"/>
    <w:lvl w:ilvl="0">
      <w:start w:val="1"/>
      <w:numFmt w:val="decimal"/>
      <w:lvlText w:val="%1."/>
      <w:lvlJc w:val="left"/>
      <w:pPr>
        <w:ind w:left="720" w:hanging="360"/>
      </w:p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EB2219F"/>
    <w:multiLevelType w:val="hybridMultilevel"/>
    <w:tmpl w:val="438479FC"/>
    <w:lvl w:ilvl="0" w:tplc="14090001">
      <w:start w:val="1"/>
      <w:numFmt w:val="bullet"/>
      <w:lvlText w:val=""/>
      <w:lvlJc w:val="left"/>
      <w:pPr>
        <w:ind w:left="1350" w:hanging="360"/>
      </w:pPr>
      <w:rPr>
        <w:rFonts w:ascii="Symbol" w:hAnsi="Symbol" w:hint="default"/>
      </w:rPr>
    </w:lvl>
    <w:lvl w:ilvl="1" w:tplc="14090003">
      <w:start w:val="1"/>
      <w:numFmt w:val="bullet"/>
      <w:lvlText w:val="o"/>
      <w:lvlJc w:val="left"/>
      <w:pPr>
        <w:ind w:left="2070" w:hanging="360"/>
      </w:pPr>
      <w:rPr>
        <w:rFonts w:ascii="Courier New" w:hAnsi="Courier New" w:cs="Courier New" w:hint="default"/>
      </w:rPr>
    </w:lvl>
    <w:lvl w:ilvl="2" w:tplc="14090005" w:tentative="1">
      <w:start w:val="1"/>
      <w:numFmt w:val="bullet"/>
      <w:lvlText w:val=""/>
      <w:lvlJc w:val="left"/>
      <w:pPr>
        <w:ind w:left="2790" w:hanging="360"/>
      </w:pPr>
      <w:rPr>
        <w:rFonts w:ascii="Wingdings" w:hAnsi="Wingdings" w:hint="default"/>
      </w:rPr>
    </w:lvl>
    <w:lvl w:ilvl="3" w:tplc="14090001" w:tentative="1">
      <w:start w:val="1"/>
      <w:numFmt w:val="bullet"/>
      <w:lvlText w:val=""/>
      <w:lvlJc w:val="left"/>
      <w:pPr>
        <w:ind w:left="3510" w:hanging="360"/>
      </w:pPr>
      <w:rPr>
        <w:rFonts w:ascii="Symbol" w:hAnsi="Symbol" w:hint="default"/>
      </w:rPr>
    </w:lvl>
    <w:lvl w:ilvl="4" w:tplc="14090003" w:tentative="1">
      <w:start w:val="1"/>
      <w:numFmt w:val="bullet"/>
      <w:lvlText w:val="o"/>
      <w:lvlJc w:val="left"/>
      <w:pPr>
        <w:ind w:left="4230" w:hanging="360"/>
      </w:pPr>
      <w:rPr>
        <w:rFonts w:ascii="Courier New" w:hAnsi="Courier New" w:cs="Courier New" w:hint="default"/>
      </w:rPr>
    </w:lvl>
    <w:lvl w:ilvl="5" w:tplc="14090005" w:tentative="1">
      <w:start w:val="1"/>
      <w:numFmt w:val="bullet"/>
      <w:lvlText w:val=""/>
      <w:lvlJc w:val="left"/>
      <w:pPr>
        <w:ind w:left="4950" w:hanging="360"/>
      </w:pPr>
      <w:rPr>
        <w:rFonts w:ascii="Wingdings" w:hAnsi="Wingdings" w:hint="default"/>
      </w:rPr>
    </w:lvl>
    <w:lvl w:ilvl="6" w:tplc="14090001" w:tentative="1">
      <w:start w:val="1"/>
      <w:numFmt w:val="bullet"/>
      <w:lvlText w:val=""/>
      <w:lvlJc w:val="left"/>
      <w:pPr>
        <w:ind w:left="5670" w:hanging="360"/>
      </w:pPr>
      <w:rPr>
        <w:rFonts w:ascii="Symbol" w:hAnsi="Symbol" w:hint="default"/>
      </w:rPr>
    </w:lvl>
    <w:lvl w:ilvl="7" w:tplc="14090003" w:tentative="1">
      <w:start w:val="1"/>
      <w:numFmt w:val="bullet"/>
      <w:lvlText w:val="o"/>
      <w:lvlJc w:val="left"/>
      <w:pPr>
        <w:ind w:left="6390" w:hanging="360"/>
      </w:pPr>
      <w:rPr>
        <w:rFonts w:ascii="Courier New" w:hAnsi="Courier New" w:cs="Courier New" w:hint="default"/>
      </w:rPr>
    </w:lvl>
    <w:lvl w:ilvl="8" w:tplc="14090005" w:tentative="1">
      <w:start w:val="1"/>
      <w:numFmt w:val="bullet"/>
      <w:lvlText w:val=""/>
      <w:lvlJc w:val="left"/>
      <w:pPr>
        <w:ind w:left="7110" w:hanging="360"/>
      </w:pPr>
      <w:rPr>
        <w:rFonts w:ascii="Wingdings" w:hAnsi="Wingdings" w:hint="default"/>
      </w:rPr>
    </w:lvl>
  </w:abstractNum>
  <w:abstractNum w:abstractNumId="22" w15:restartNumberingAfterBreak="0">
    <w:nsid w:val="68D574AA"/>
    <w:multiLevelType w:val="hybridMultilevel"/>
    <w:tmpl w:val="FAF66A44"/>
    <w:lvl w:ilvl="0" w:tplc="14090001">
      <w:start w:val="1"/>
      <w:numFmt w:val="bullet"/>
      <w:lvlText w:val=""/>
      <w:lvlJc w:val="left"/>
      <w:pPr>
        <w:ind w:left="1350" w:hanging="360"/>
      </w:pPr>
      <w:rPr>
        <w:rFonts w:ascii="Symbol" w:hAnsi="Symbol" w:hint="default"/>
      </w:rPr>
    </w:lvl>
    <w:lvl w:ilvl="1" w:tplc="DD42C79E">
      <w:start w:val="2"/>
      <w:numFmt w:val="bullet"/>
      <w:lvlText w:val="-"/>
      <w:lvlJc w:val="left"/>
      <w:pPr>
        <w:ind w:left="2070" w:hanging="360"/>
      </w:pPr>
      <w:rPr>
        <w:rFonts w:ascii="Arial" w:eastAsia="Times New Roman" w:hAnsi="Arial" w:cs="Arial" w:hint="default"/>
      </w:rPr>
    </w:lvl>
    <w:lvl w:ilvl="2" w:tplc="14090005">
      <w:start w:val="1"/>
      <w:numFmt w:val="bullet"/>
      <w:lvlText w:val=""/>
      <w:lvlJc w:val="left"/>
      <w:pPr>
        <w:ind w:left="2790" w:hanging="360"/>
      </w:pPr>
      <w:rPr>
        <w:rFonts w:ascii="Wingdings" w:hAnsi="Wingdings" w:hint="default"/>
      </w:rPr>
    </w:lvl>
    <w:lvl w:ilvl="3" w:tplc="14090001">
      <w:start w:val="1"/>
      <w:numFmt w:val="bullet"/>
      <w:lvlText w:val=""/>
      <w:lvlJc w:val="left"/>
      <w:pPr>
        <w:ind w:left="3510" w:hanging="360"/>
      </w:pPr>
      <w:rPr>
        <w:rFonts w:ascii="Symbol" w:hAnsi="Symbol" w:hint="default"/>
      </w:rPr>
    </w:lvl>
    <w:lvl w:ilvl="4" w:tplc="14090003">
      <w:start w:val="1"/>
      <w:numFmt w:val="bullet"/>
      <w:lvlText w:val="o"/>
      <w:lvlJc w:val="left"/>
      <w:pPr>
        <w:ind w:left="4230" w:hanging="360"/>
      </w:pPr>
      <w:rPr>
        <w:rFonts w:ascii="Courier New" w:hAnsi="Courier New" w:cs="Courier New" w:hint="default"/>
      </w:rPr>
    </w:lvl>
    <w:lvl w:ilvl="5" w:tplc="14090005">
      <w:start w:val="1"/>
      <w:numFmt w:val="bullet"/>
      <w:lvlText w:val=""/>
      <w:lvlJc w:val="left"/>
      <w:pPr>
        <w:ind w:left="4950" w:hanging="360"/>
      </w:pPr>
      <w:rPr>
        <w:rFonts w:ascii="Wingdings" w:hAnsi="Wingdings" w:hint="default"/>
      </w:rPr>
    </w:lvl>
    <w:lvl w:ilvl="6" w:tplc="14090001">
      <w:start w:val="1"/>
      <w:numFmt w:val="bullet"/>
      <w:lvlText w:val=""/>
      <w:lvlJc w:val="left"/>
      <w:pPr>
        <w:ind w:left="5670" w:hanging="360"/>
      </w:pPr>
      <w:rPr>
        <w:rFonts w:ascii="Symbol" w:hAnsi="Symbol" w:hint="default"/>
      </w:rPr>
    </w:lvl>
    <w:lvl w:ilvl="7" w:tplc="14090003">
      <w:start w:val="1"/>
      <w:numFmt w:val="bullet"/>
      <w:lvlText w:val="o"/>
      <w:lvlJc w:val="left"/>
      <w:pPr>
        <w:ind w:left="6390" w:hanging="360"/>
      </w:pPr>
      <w:rPr>
        <w:rFonts w:ascii="Courier New" w:hAnsi="Courier New" w:cs="Courier New" w:hint="default"/>
      </w:rPr>
    </w:lvl>
    <w:lvl w:ilvl="8" w:tplc="14090005">
      <w:start w:val="1"/>
      <w:numFmt w:val="bullet"/>
      <w:lvlText w:val=""/>
      <w:lvlJc w:val="left"/>
      <w:pPr>
        <w:ind w:left="7110" w:hanging="360"/>
      </w:pPr>
      <w:rPr>
        <w:rFonts w:ascii="Wingdings" w:hAnsi="Wingdings" w:hint="default"/>
      </w:rPr>
    </w:lvl>
  </w:abstractNum>
  <w:abstractNum w:abstractNumId="23" w15:restartNumberingAfterBreak="0">
    <w:nsid w:val="723A66D8"/>
    <w:multiLevelType w:val="hybridMultilevel"/>
    <w:tmpl w:val="959024C0"/>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4" w15:restartNumberingAfterBreak="0">
    <w:nsid w:val="783B2ECF"/>
    <w:multiLevelType w:val="hybridMultilevel"/>
    <w:tmpl w:val="D506F3DC"/>
    <w:lvl w:ilvl="0" w:tplc="14090001">
      <w:start w:val="1"/>
      <w:numFmt w:val="bullet"/>
      <w:lvlText w:val=""/>
      <w:lvlJc w:val="left"/>
      <w:pPr>
        <w:ind w:left="1350" w:hanging="360"/>
      </w:pPr>
      <w:rPr>
        <w:rFonts w:ascii="Symbol" w:hAnsi="Symbol" w:hint="default"/>
      </w:rPr>
    </w:lvl>
    <w:lvl w:ilvl="1" w:tplc="DD42C79E">
      <w:start w:val="2"/>
      <w:numFmt w:val="bullet"/>
      <w:lvlText w:val="-"/>
      <w:lvlJc w:val="left"/>
      <w:pPr>
        <w:ind w:left="2070" w:hanging="360"/>
      </w:pPr>
      <w:rPr>
        <w:rFonts w:ascii="Arial" w:eastAsia="Times New Roman" w:hAnsi="Arial" w:cs="Arial" w:hint="default"/>
      </w:rPr>
    </w:lvl>
    <w:lvl w:ilvl="2" w:tplc="14090005" w:tentative="1">
      <w:start w:val="1"/>
      <w:numFmt w:val="bullet"/>
      <w:lvlText w:val=""/>
      <w:lvlJc w:val="left"/>
      <w:pPr>
        <w:ind w:left="2790" w:hanging="360"/>
      </w:pPr>
      <w:rPr>
        <w:rFonts w:ascii="Wingdings" w:hAnsi="Wingdings" w:hint="default"/>
      </w:rPr>
    </w:lvl>
    <w:lvl w:ilvl="3" w:tplc="14090001" w:tentative="1">
      <w:start w:val="1"/>
      <w:numFmt w:val="bullet"/>
      <w:lvlText w:val=""/>
      <w:lvlJc w:val="left"/>
      <w:pPr>
        <w:ind w:left="3510" w:hanging="360"/>
      </w:pPr>
      <w:rPr>
        <w:rFonts w:ascii="Symbol" w:hAnsi="Symbol" w:hint="default"/>
      </w:rPr>
    </w:lvl>
    <w:lvl w:ilvl="4" w:tplc="14090003" w:tentative="1">
      <w:start w:val="1"/>
      <w:numFmt w:val="bullet"/>
      <w:lvlText w:val="o"/>
      <w:lvlJc w:val="left"/>
      <w:pPr>
        <w:ind w:left="4230" w:hanging="360"/>
      </w:pPr>
      <w:rPr>
        <w:rFonts w:ascii="Courier New" w:hAnsi="Courier New" w:cs="Courier New" w:hint="default"/>
      </w:rPr>
    </w:lvl>
    <w:lvl w:ilvl="5" w:tplc="14090005" w:tentative="1">
      <w:start w:val="1"/>
      <w:numFmt w:val="bullet"/>
      <w:lvlText w:val=""/>
      <w:lvlJc w:val="left"/>
      <w:pPr>
        <w:ind w:left="4950" w:hanging="360"/>
      </w:pPr>
      <w:rPr>
        <w:rFonts w:ascii="Wingdings" w:hAnsi="Wingdings" w:hint="default"/>
      </w:rPr>
    </w:lvl>
    <w:lvl w:ilvl="6" w:tplc="14090001" w:tentative="1">
      <w:start w:val="1"/>
      <w:numFmt w:val="bullet"/>
      <w:lvlText w:val=""/>
      <w:lvlJc w:val="left"/>
      <w:pPr>
        <w:ind w:left="5670" w:hanging="360"/>
      </w:pPr>
      <w:rPr>
        <w:rFonts w:ascii="Symbol" w:hAnsi="Symbol" w:hint="default"/>
      </w:rPr>
    </w:lvl>
    <w:lvl w:ilvl="7" w:tplc="14090003" w:tentative="1">
      <w:start w:val="1"/>
      <w:numFmt w:val="bullet"/>
      <w:lvlText w:val="o"/>
      <w:lvlJc w:val="left"/>
      <w:pPr>
        <w:ind w:left="6390" w:hanging="360"/>
      </w:pPr>
      <w:rPr>
        <w:rFonts w:ascii="Courier New" w:hAnsi="Courier New" w:cs="Courier New" w:hint="default"/>
      </w:rPr>
    </w:lvl>
    <w:lvl w:ilvl="8" w:tplc="14090005" w:tentative="1">
      <w:start w:val="1"/>
      <w:numFmt w:val="bullet"/>
      <w:lvlText w:val=""/>
      <w:lvlJc w:val="left"/>
      <w:pPr>
        <w:ind w:left="7110" w:hanging="360"/>
      </w:pPr>
      <w:rPr>
        <w:rFonts w:ascii="Wingdings" w:hAnsi="Wingdings" w:hint="default"/>
      </w:rPr>
    </w:lvl>
  </w:abstractNum>
  <w:abstractNum w:abstractNumId="25" w15:restartNumberingAfterBreak="0">
    <w:nsid w:val="7BB17A19"/>
    <w:multiLevelType w:val="hybridMultilevel"/>
    <w:tmpl w:val="F4B448A0"/>
    <w:lvl w:ilvl="0" w:tplc="14090019">
      <w:start w:val="1"/>
      <w:numFmt w:val="lowerLetter"/>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7"/>
  </w:num>
  <w:num w:numId="4">
    <w:abstractNumId w:val="23"/>
  </w:num>
  <w:num w:numId="5">
    <w:abstractNumId w:val="15"/>
  </w:num>
  <w:num w:numId="6">
    <w:abstractNumId w:val="19"/>
  </w:num>
  <w:num w:numId="7">
    <w:abstractNumId w:val="14"/>
  </w:num>
  <w:num w:numId="8">
    <w:abstractNumId w:val="5"/>
  </w:num>
  <w:num w:numId="9">
    <w:abstractNumId w:val="4"/>
  </w:num>
  <w:num w:numId="10">
    <w:abstractNumId w:val="6"/>
  </w:num>
  <w:num w:numId="11">
    <w:abstractNumId w:val="21"/>
  </w:num>
  <w:num w:numId="12">
    <w:abstractNumId w:val="17"/>
  </w:num>
  <w:num w:numId="13">
    <w:abstractNumId w:val="24"/>
  </w:num>
  <w:num w:numId="14">
    <w:abstractNumId w:val="22"/>
  </w:num>
  <w:num w:numId="15">
    <w:abstractNumId w:val="2"/>
  </w:num>
  <w:num w:numId="16">
    <w:abstractNumId w:val="12"/>
  </w:num>
  <w:num w:numId="17">
    <w:abstractNumId w:val="1"/>
  </w:num>
  <w:num w:numId="18">
    <w:abstractNumId w:val="9"/>
  </w:num>
  <w:num w:numId="19">
    <w:abstractNumId w:val="8"/>
  </w:num>
  <w:num w:numId="20">
    <w:abstractNumId w:val="25"/>
  </w:num>
  <w:num w:numId="21">
    <w:abstractNumId w:val="10"/>
  </w:num>
  <w:num w:numId="22">
    <w:abstractNumId w:val="3"/>
  </w:num>
  <w:num w:numId="23">
    <w:abstractNumId w:val="11"/>
  </w:num>
  <w:num w:numId="24">
    <w:abstractNumId w:val="20"/>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8"/>
  </w:num>
  <w:num w:numId="48">
    <w:abstractNumId w:val="8"/>
  </w:num>
  <w:num w:numId="49">
    <w:abstractNumId w:val="8"/>
  </w:num>
  <w:num w:numId="50">
    <w:abstractNumId w:val="8"/>
  </w:num>
  <w:num w:numId="51">
    <w:abstractNumId w:val="8"/>
  </w:num>
  <w:num w:numId="52">
    <w:abstractNumId w:val="16"/>
  </w:num>
  <w:num w:numId="53">
    <w:abstractNumId w:val="8"/>
  </w:num>
  <w:num w:numId="54">
    <w:abstractNumId w:val="8"/>
  </w:num>
  <w:num w:numId="55">
    <w:abstractNumId w:val="8"/>
  </w:num>
  <w:num w:numId="56">
    <w:abstractNumId w:val="8"/>
  </w:num>
  <w:num w:numId="57">
    <w:abstractNumId w:val="8"/>
  </w:num>
  <w:num w:numId="58">
    <w:abstractNumId w:val="8"/>
  </w:num>
  <w:num w:numId="59">
    <w:abstractNumId w:val="8"/>
  </w:num>
  <w:num w:numId="60">
    <w:abstractNumId w:val="8"/>
  </w:num>
  <w:num w:numId="61">
    <w:abstractNumId w:val="8"/>
  </w:num>
  <w:num w:numId="62">
    <w:abstractNumId w:val="8"/>
  </w:num>
  <w:num w:numId="63">
    <w:abstractNumId w:val="8"/>
  </w:num>
  <w:num w:numId="64">
    <w:abstractNumId w:val="8"/>
  </w:num>
  <w:num w:numId="65">
    <w:abstractNumId w:val="8"/>
  </w:num>
  <w:num w:numId="66">
    <w:abstractNumId w:val="8"/>
  </w:num>
  <w:num w:numId="67">
    <w:abstractNumId w:val="8"/>
  </w:num>
  <w:num w:numId="68">
    <w:abstractNumId w:val="8"/>
  </w:num>
  <w:num w:numId="69">
    <w:abstractNumId w:val="8"/>
  </w:num>
  <w:num w:numId="70">
    <w:abstractNumId w:val="8"/>
  </w:num>
  <w:num w:numId="71">
    <w:abstractNumId w:val="8"/>
  </w:num>
  <w:num w:numId="72">
    <w:abstractNumId w:val="8"/>
  </w:num>
  <w:num w:numId="73">
    <w:abstractNumId w:val="8"/>
  </w:num>
  <w:num w:numId="74">
    <w:abstractNumId w:val="8"/>
  </w:num>
  <w:num w:numId="75">
    <w:abstractNumId w:val="8"/>
  </w:num>
  <w:num w:numId="76">
    <w:abstractNumId w:val="8"/>
  </w:num>
  <w:num w:numId="77">
    <w:abstractNumId w:val="8"/>
  </w:num>
  <w:num w:numId="78">
    <w:abstractNumId w:val="8"/>
  </w:num>
  <w:num w:numId="79">
    <w:abstractNumId w:val="8"/>
  </w:num>
  <w:num w:numId="80">
    <w:abstractNumId w:val="8"/>
  </w:num>
  <w:num w:numId="81">
    <w:abstractNumId w:val="8"/>
  </w:num>
  <w:num w:numId="82">
    <w:abstractNumId w:val="0"/>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0632"/>
    <w:rsid w:val="000006B1"/>
    <w:rsid w:val="000013B9"/>
    <w:rsid w:val="00001CF2"/>
    <w:rsid w:val="0000247B"/>
    <w:rsid w:val="00003031"/>
    <w:rsid w:val="000033F9"/>
    <w:rsid w:val="0000469B"/>
    <w:rsid w:val="000052F8"/>
    <w:rsid w:val="00005683"/>
    <w:rsid w:val="00006394"/>
    <w:rsid w:val="00006B4B"/>
    <w:rsid w:val="00007A18"/>
    <w:rsid w:val="00007F2C"/>
    <w:rsid w:val="000126C0"/>
    <w:rsid w:val="00013740"/>
    <w:rsid w:val="000151E4"/>
    <w:rsid w:val="000179A0"/>
    <w:rsid w:val="00021715"/>
    <w:rsid w:val="0002269B"/>
    <w:rsid w:val="00022A24"/>
    <w:rsid w:val="00022D2E"/>
    <w:rsid w:val="00025EB2"/>
    <w:rsid w:val="00030EDA"/>
    <w:rsid w:val="00034724"/>
    <w:rsid w:val="00035403"/>
    <w:rsid w:val="00035681"/>
    <w:rsid w:val="00035B7B"/>
    <w:rsid w:val="00035FF3"/>
    <w:rsid w:val="00036F6B"/>
    <w:rsid w:val="00037B7D"/>
    <w:rsid w:val="00037D6E"/>
    <w:rsid w:val="00040105"/>
    <w:rsid w:val="00040777"/>
    <w:rsid w:val="00043CE7"/>
    <w:rsid w:val="00045C18"/>
    <w:rsid w:val="00046244"/>
    <w:rsid w:val="00051021"/>
    <w:rsid w:val="000517A2"/>
    <w:rsid w:val="00051ED9"/>
    <w:rsid w:val="00056E45"/>
    <w:rsid w:val="00057181"/>
    <w:rsid w:val="000600DF"/>
    <w:rsid w:val="00061BC5"/>
    <w:rsid w:val="00063538"/>
    <w:rsid w:val="0006473A"/>
    <w:rsid w:val="00064B2D"/>
    <w:rsid w:val="00065F1F"/>
    <w:rsid w:val="00070DC9"/>
    <w:rsid w:val="000746FA"/>
    <w:rsid w:val="00076D33"/>
    <w:rsid w:val="0008015E"/>
    <w:rsid w:val="00080AA3"/>
    <w:rsid w:val="00081E29"/>
    <w:rsid w:val="00085430"/>
    <w:rsid w:val="000878A2"/>
    <w:rsid w:val="00087EAA"/>
    <w:rsid w:val="00092CDA"/>
    <w:rsid w:val="00094A62"/>
    <w:rsid w:val="00094CD4"/>
    <w:rsid w:val="00094F7A"/>
    <w:rsid w:val="00096D5E"/>
    <w:rsid w:val="00097C15"/>
    <w:rsid w:val="000A27E9"/>
    <w:rsid w:val="000A3D8B"/>
    <w:rsid w:val="000A5DF8"/>
    <w:rsid w:val="000A6571"/>
    <w:rsid w:val="000B0E99"/>
    <w:rsid w:val="000B3418"/>
    <w:rsid w:val="000B6AF2"/>
    <w:rsid w:val="000B76DD"/>
    <w:rsid w:val="000C2EA2"/>
    <w:rsid w:val="000C5CF2"/>
    <w:rsid w:val="000C5DA4"/>
    <w:rsid w:val="000D0608"/>
    <w:rsid w:val="000D1C2D"/>
    <w:rsid w:val="000D33D1"/>
    <w:rsid w:val="000D474C"/>
    <w:rsid w:val="000D5094"/>
    <w:rsid w:val="000D6FD4"/>
    <w:rsid w:val="000D7F13"/>
    <w:rsid w:val="000E0AE4"/>
    <w:rsid w:val="000E3DBC"/>
    <w:rsid w:val="000E4BC0"/>
    <w:rsid w:val="000E611C"/>
    <w:rsid w:val="000E77DE"/>
    <w:rsid w:val="000F05EB"/>
    <w:rsid w:val="000F1953"/>
    <w:rsid w:val="000F5240"/>
    <w:rsid w:val="000F5720"/>
    <w:rsid w:val="000F6898"/>
    <w:rsid w:val="000F78AE"/>
    <w:rsid w:val="00100FA2"/>
    <w:rsid w:val="001014A6"/>
    <w:rsid w:val="00102439"/>
    <w:rsid w:val="0010255A"/>
    <w:rsid w:val="0011032B"/>
    <w:rsid w:val="00110B98"/>
    <w:rsid w:val="00111E3A"/>
    <w:rsid w:val="00113CE3"/>
    <w:rsid w:val="0011682B"/>
    <w:rsid w:val="00117522"/>
    <w:rsid w:val="00126BA4"/>
    <w:rsid w:val="00126D64"/>
    <w:rsid w:val="00127289"/>
    <w:rsid w:val="0013765F"/>
    <w:rsid w:val="00140EC2"/>
    <w:rsid w:val="00141EC5"/>
    <w:rsid w:val="00142468"/>
    <w:rsid w:val="00142908"/>
    <w:rsid w:val="00143BC1"/>
    <w:rsid w:val="00144B8E"/>
    <w:rsid w:val="00146803"/>
    <w:rsid w:val="00146BCA"/>
    <w:rsid w:val="001519EF"/>
    <w:rsid w:val="00151F8E"/>
    <w:rsid w:val="001530AE"/>
    <w:rsid w:val="001542D8"/>
    <w:rsid w:val="001559BA"/>
    <w:rsid w:val="00161805"/>
    <w:rsid w:val="0016348F"/>
    <w:rsid w:val="001646A3"/>
    <w:rsid w:val="00170E5A"/>
    <w:rsid w:val="00172711"/>
    <w:rsid w:val="0017617B"/>
    <w:rsid w:val="001766BB"/>
    <w:rsid w:val="00176D3E"/>
    <w:rsid w:val="001773F4"/>
    <w:rsid w:val="00180C41"/>
    <w:rsid w:val="00182073"/>
    <w:rsid w:val="001820B2"/>
    <w:rsid w:val="00182C4C"/>
    <w:rsid w:val="00184FE1"/>
    <w:rsid w:val="001874EE"/>
    <w:rsid w:val="00187D94"/>
    <w:rsid w:val="00194D4E"/>
    <w:rsid w:val="001963CC"/>
    <w:rsid w:val="00196B9D"/>
    <w:rsid w:val="001971E8"/>
    <w:rsid w:val="00197D8D"/>
    <w:rsid w:val="001A1A75"/>
    <w:rsid w:val="001A7E9A"/>
    <w:rsid w:val="001B5D11"/>
    <w:rsid w:val="001B6826"/>
    <w:rsid w:val="001C0225"/>
    <w:rsid w:val="001C27A3"/>
    <w:rsid w:val="001C2CF0"/>
    <w:rsid w:val="001C5295"/>
    <w:rsid w:val="001C6CA1"/>
    <w:rsid w:val="001C709A"/>
    <w:rsid w:val="001C7799"/>
    <w:rsid w:val="001D4D40"/>
    <w:rsid w:val="001D5483"/>
    <w:rsid w:val="001D67D3"/>
    <w:rsid w:val="001E06C8"/>
    <w:rsid w:val="001E09FA"/>
    <w:rsid w:val="001E0B69"/>
    <w:rsid w:val="001E46E5"/>
    <w:rsid w:val="001E5D11"/>
    <w:rsid w:val="001F3406"/>
    <w:rsid w:val="001F402C"/>
    <w:rsid w:val="001F59C0"/>
    <w:rsid w:val="001F6E39"/>
    <w:rsid w:val="002007B5"/>
    <w:rsid w:val="0020196D"/>
    <w:rsid w:val="00203540"/>
    <w:rsid w:val="00203787"/>
    <w:rsid w:val="00205BE1"/>
    <w:rsid w:val="00206ECB"/>
    <w:rsid w:val="002114A1"/>
    <w:rsid w:val="0021172C"/>
    <w:rsid w:val="0021612B"/>
    <w:rsid w:val="00216BD4"/>
    <w:rsid w:val="00217EBD"/>
    <w:rsid w:val="0022083A"/>
    <w:rsid w:val="00221D07"/>
    <w:rsid w:val="00224D97"/>
    <w:rsid w:val="00227E4A"/>
    <w:rsid w:val="002316B8"/>
    <w:rsid w:val="00232849"/>
    <w:rsid w:val="00233F8D"/>
    <w:rsid w:val="00235616"/>
    <w:rsid w:val="00242FAA"/>
    <w:rsid w:val="00243459"/>
    <w:rsid w:val="00244D12"/>
    <w:rsid w:val="0024582E"/>
    <w:rsid w:val="00245C56"/>
    <w:rsid w:val="002470D2"/>
    <w:rsid w:val="002478D8"/>
    <w:rsid w:val="00247F96"/>
    <w:rsid w:val="002547EF"/>
    <w:rsid w:val="002556D7"/>
    <w:rsid w:val="00255AE0"/>
    <w:rsid w:val="00256D65"/>
    <w:rsid w:val="00256FE1"/>
    <w:rsid w:val="00264807"/>
    <w:rsid w:val="00265B5D"/>
    <w:rsid w:val="00265F5F"/>
    <w:rsid w:val="002675A8"/>
    <w:rsid w:val="00270A79"/>
    <w:rsid w:val="00271F00"/>
    <w:rsid w:val="00273A80"/>
    <w:rsid w:val="002778C7"/>
    <w:rsid w:val="00280377"/>
    <w:rsid w:val="00280780"/>
    <w:rsid w:val="00281058"/>
    <w:rsid w:val="0028636B"/>
    <w:rsid w:val="002870FE"/>
    <w:rsid w:val="00287F23"/>
    <w:rsid w:val="0029204E"/>
    <w:rsid w:val="00295116"/>
    <w:rsid w:val="0029631C"/>
    <w:rsid w:val="002A0194"/>
    <w:rsid w:val="002A3314"/>
    <w:rsid w:val="002A4E1C"/>
    <w:rsid w:val="002A59AF"/>
    <w:rsid w:val="002A5E07"/>
    <w:rsid w:val="002A5F8B"/>
    <w:rsid w:val="002A6A38"/>
    <w:rsid w:val="002A6C0D"/>
    <w:rsid w:val="002A7F6C"/>
    <w:rsid w:val="002B5B00"/>
    <w:rsid w:val="002B5CA0"/>
    <w:rsid w:val="002C2D7B"/>
    <w:rsid w:val="002C34DB"/>
    <w:rsid w:val="002C3DFA"/>
    <w:rsid w:val="002C509D"/>
    <w:rsid w:val="002D5B70"/>
    <w:rsid w:val="002D645F"/>
    <w:rsid w:val="002D6809"/>
    <w:rsid w:val="002D725D"/>
    <w:rsid w:val="002D73DA"/>
    <w:rsid w:val="002E1884"/>
    <w:rsid w:val="002E2B4C"/>
    <w:rsid w:val="002E3FAB"/>
    <w:rsid w:val="002E4066"/>
    <w:rsid w:val="002E5829"/>
    <w:rsid w:val="002E60A7"/>
    <w:rsid w:val="002E6141"/>
    <w:rsid w:val="002E74E9"/>
    <w:rsid w:val="002F010C"/>
    <w:rsid w:val="002F047E"/>
    <w:rsid w:val="002F5B61"/>
    <w:rsid w:val="002F6488"/>
    <w:rsid w:val="002F6CB4"/>
    <w:rsid w:val="002F725B"/>
    <w:rsid w:val="00312078"/>
    <w:rsid w:val="003122CF"/>
    <w:rsid w:val="00314D8F"/>
    <w:rsid w:val="0031709D"/>
    <w:rsid w:val="0031776E"/>
    <w:rsid w:val="00320839"/>
    <w:rsid w:val="00320D08"/>
    <w:rsid w:val="003213F9"/>
    <w:rsid w:val="00323DBF"/>
    <w:rsid w:val="0032491D"/>
    <w:rsid w:val="00326552"/>
    <w:rsid w:val="00326D85"/>
    <w:rsid w:val="003270F8"/>
    <w:rsid w:val="0033063E"/>
    <w:rsid w:val="003309A8"/>
    <w:rsid w:val="00332B12"/>
    <w:rsid w:val="00333802"/>
    <w:rsid w:val="00333E2C"/>
    <w:rsid w:val="00334391"/>
    <w:rsid w:val="00334847"/>
    <w:rsid w:val="003352A2"/>
    <w:rsid w:val="003374D4"/>
    <w:rsid w:val="00340389"/>
    <w:rsid w:val="00342503"/>
    <w:rsid w:val="003427F6"/>
    <w:rsid w:val="00342B97"/>
    <w:rsid w:val="00343780"/>
    <w:rsid w:val="003449F7"/>
    <w:rsid w:val="00350FE4"/>
    <w:rsid w:val="003515FC"/>
    <w:rsid w:val="00351B07"/>
    <w:rsid w:val="00352CF2"/>
    <w:rsid w:val="00353ADA"/>
    <w:rsid w:val="003540AC"/>
    <w:rsid w:val="00355D8D"/>
    <w:rsid w:val="00357D2D"/>
    <w:rsid w:val="00362799"/>
    <w:rsid w:val="00362B23"/>
    <w:rsid w:val="00364841"/>
    <w:rsid w:val="00367A1E"/>
    <w:rsid w:val="00367B47"/>
    <w:rsid w:val="00367E6F"/>
    <w:rsid w:val="003700A4"/>
    <w:rsid w:val="00370ADA"/>
    <w:rsid w:val="00370D52"/>
    <w:rsid w:val="00371B29"/>
    <w:rsid w:val="003742D6"/>
    <w:rsid w:val="0037478B"/>
    <w:rsid w:val="0037656B"/>
    <w:rsid w:val="00377665"/>
    <w:rsid w:val="003854BB"/>
    <w:rsid w:val="0038778A"/>
    <w:rsid w:val="003907A1"/>
    <w:rsid w:val="00391086"/>
    <w:rsid w:val="00391769"/>
    <w:rsid w:val="003917EA"/>
    <w:rsid w:val="00391BE4"/>
    <w:rsid w:val="00392110"/>
    <w:rsid w:val="0039476C"/>
    <w:rsid w:val="003953E1"/>
    <w:rsid w:val="003954D7"/>
    <w:rsid w:val="003956B3"/>
    <w:rsid w:val="003A1D14"/>
    <w:rsid w:val="003A47F5"/>
    <w:rsid w:val="003A68BE"/>
    <w:rsid w:val="003A6EC7"/>
    <w:rsid w:val="003A7C26"/>
    <w:rsid w:val="003B0B81"/>
    <w:rsid w:val="003B0D7B"/>
    <w:rsid w:val="003B1805"/>
    <w:rsid w:val="003B1CDD"/>
    <w:rsid w:val="003B3C9D"/>
    <w:rsid w:val="003B3E5A"/>
    <w:rsid w:val="003B78E0"/>
    <w:rsid w:val="003B7A00"/>
    <w:rsid w:val="003C0AA5"/>
    <w:rsid w:val="003C1EA6"/>
    <w:rsid w:val="003C4969"/>
    <w:rsid w:val="003C6D5B"/>
    <w:rsid w:val="003D0CA4"/>
    <w:rsid w:val="003D2197"/>
    <w:rsid w:val="003D5AA1"/>
    <w:rsid w:val="003D7B9A"/>
    <w:rsid w:val="003E41D5"/>
    <w:rsid w:val="003E46BA"/>
    <w:rsid w:val="003E7D22"/>
    <w:rsid w:val="003F17D1"/>
    <w:rsid w:val="003F22D2"/>
    <w:rsid w:val="003F2385"/>
    <w:rsid w:val="003F2BA3"/>
    <w:rsid w:val="003F3912"/>
    <w:rsid w:val="003F3DAF"/>
    <w:rsid w:val="003F6F5D"/>
    <w:rsid w:val="003F74C1"/>
    <w:rsid w:val="004039D9"/>
    <w:rsid w:val="00403E4B"/>
    <w:rsid w:val="00405B1A"/>
    <w:rsid w:val="00405CE7"/>
    <w:rsid w:val="00406F3B"/>
    <w:rsid w:val="004100A4"/>
    <w:rsid w:val="00410C76"/>
    <w:rsid w:val="00411907"/>
    <w:rsid w:val="00412422"/>
    <w:rsid w:val="00413CA8"/>
    <w:rsid w:val="00416638"/>
    <w:rsid w:val="00417EE3"/>
    <w:rsid w:val="004207EB"/>
    <w:rsid w:val="00422C68"/>
    <w:rsid w:val="00430EA0"/>
    <w:rsid w:val="004312EC"/>
    <w:rsid w:val="00433646"/>
    <w:rsid w:val="00434000"/>
    <w:rsid w:val="0043617A"/>
    <w:rsid w:val="00436D45"/>
    <w:rsid w:val="00437276"/>
    <w:rsid w:val="00437C79"/>
    <w:rsid w:val="0044309A"/>
    <w:rsid w:val="0044466D"/>
    <w:rsid w:val="00444967"/>
    <w:rsid w:val="004449EF"/>
    <w:rsid w:val="004453DD"/>
    <w:rsid w:val="00445C90"/>
    <w:rsid w:val="00450BAD"/>
    <w:rsid w:val="004553FA"/>
    <w:rsid w:val="00456B54"/>
    <w:rsid w:val="00456D83"/>
    <w:rsid w:val="00460A4D"/>
    <w:rsid w:val="00460AD4"/>
    <w:rsid w:val="00461D76"/>
    <w:rsid w:val="00463D9D"/>
    <w:rsid w:val="00464643"/>
    <w:rsid w:val="004646E8"/>
    <w:rsid w:val="00464F5C"/>
    <w:rsid w:val="00473578"/>
    <w:rsid w:val="004735A6"/>
    <w:rsid w:val="00477DA5"/>
    <w:rsid w:val="004807B5"/>
    <w:rsid w:val="00481062"/>
    <w:rsid w:val="0048197E"/>
    <w:rsid w:val="00481D38"/>
    <w:rsid w:val="00483CB1"/>
    <w:rsid w:val="00485147"/>
    <w:rsid w:val="00485F78"/>
    <w:rsid w:val="00486793"/>
    <w:rsid w:val="00490315"/>
    <w:rsid w:val="004903D8"/>
    <w:rsid w:val="00490427"/>
    <w:rsid w:val="00494B5F"/>
    <w:rsid w:val="00497E6F"/>
    <w:rsid w:val="004A02D1"/>
    <w:rsid w:val="004A12AC"/>
    <w:rsid w:val="004A2037"/>
    <w:rsid w:val="004A48C1"/>
    <w:rsid w:val="004A6690"/>
    <w:rsid w:val="004A70EC"/>
    <w:rsid w:val="004B1591"/>
    <w:rsid w:val="004B30FA"/>
    <w:rsid w:val="004B4BC3"/>
    <w:rsid w:val="004B5C51"/>
    <w:rsid w:val="004B6328"/>
    <w:rsid w:val="004B727E"/>
    <w:rsid w:val="004B7BC8"/>
    <w:rsid w:val="004B7FC4"/>
    <w:rsid w:val="004C1BD4"/>
    <w:rsid w:val="004C2CE7"/>
    <w:rsid w:val="004C670F"/>
    <w:rsid w:val="004C7571"/>
    <w:rsid w:val="004D0FBE"/>
    <w:rsid w:val="004D17F0"/>
    <w:rsid w:val="004D21FB"/>
    <w:rsid w:val="004D4F1C"/>
    <w:rsid w:val="004D577E"/>
    <w:rsid w:val="004D67B1"/>
    <w:rsid w:val="004E0CA6"/>
    <w:rsid w:val="004E1F46"/>
    <w:rsid w:val="004E21B3"/>
    <w:rsid w:val="004E325E"/>
    <w:rsid w:val="004E454E"/>
    <w:rsid w:val="004E4A27"/>
    <w:rsid w:val="004E56B4"/>
    <w:rsid w:val="004E57FE"/>
    <w:rsid w:val="004E6236"/>
    <w:rsid w:val="004E6CE2"/>
    <w:rsid w:val="004F2AF8"/>
    <w:rsid w:val="004F4F98"/>
    <w:rsid w:val="004F5257"/>
    <w:rsid w:val="004F5D46"/>
    <w:rsid w:val="004F69F6"/>
    <w:rsid w:val="004F79AC"/>
    <w:rsid w:val="005017CF"/>
    <w:rsid w:val="00501B61"/>
    <w:rsid w:val="00503063"/>
    <w:rsid w:val="0050320A"/>
    <w:rsid w:val="00503E28"/>
    <w:rsid w:val="00504D7C"/>
    <w:rsid w:val="00507D3C"/>
    <w:rsid w:val="005103E0"/>
    <w:rsid w:val="00510517"/>
    <w:rsid w:val="005109BB"/>
    <w:rsid w:val="00510BAA"/>
    <w:rsid w:val="00510FC8"/>
    <w:rsid w:val="00511DB8"/>
    <w:rsid w:val="00512FB7"/>
    <w:rsid w:val="005136FD"/>
    <w:rsid w:val="00513E11"/>
    <w:rsid w:val="00515E6D"/>
    <w:rsid w:val="00516692"/>
    <w:rsid w:val="005207D8"/>
    <w:rsid w:val="00522DEC"/>
    <w:rsid w:val="005242FF"/>
    <w:rsid w:val="0052566C"/>
    <w:rsid w:val="005271B2"/>
    <w:rsid w:val="005313B3"/>
    <w:rsid w:val="00531BD2"/>
    <w:rsid w:val="0053464E"/>
    <w:rsid w:val="00534E78"/>
    <w:rsid w:val="00535A56"/>
    <w:rsid w:val="00536189"/>
    <w:rsid w:val="00537E6A"/>
    <w:rsid w:val="00541660"/>
    <w:rsid w:val="00541E7C"/>
    <w:rsid w:val="0054272D"/>
    <w:rsid w:val="00544DE8"/>
    <w:rsid w:val="00547944"/>
    <w:rsid w:val="00551DA1"/>
    <w:rsid w:val="00560989"/>
    <w:rsid w:val="00560F75"/>
    <w:rsid w:val="00562517"/>
    <w:rsid w:val="00562917"/>
    <w:rsid w:val="005632C4"/>
    <w:rsid w:val="00563A64"/>
    <w:rsid w:val="00571C02"/>
    <w:rsid w:val="00573006"/>
    <w:rsid w:val="00574800"/>
    <w:rsid w:val="005816A6"/>
    <w:rsid w:val="00586228"/>
    <w:rsid w:val="005913E1"/>
    <w:rsid w:val="0059265F"/>
    <w:rsid w:val="00592ACA"/>
    <w:rsid w:val="00594AEC"/>
    <w:rsid w:val="00594C23"/>
    <w:rsid w:val="00594E9F"/>
    <w:rsid w:val="00597972"/>
    <w:rsid w:val="005A121B"/>
    <w:rsid w:val="005A1D97"/>
    <w:rsid w:val="005A30E7"/>
    <w:rsid w:val="005A58F3"/>
    <w:rsid w:val="005A5EDC"/>
    <w:rsid w:val="005A6940"/>
    <w:rsid w:val="005A70C9"/>
    <w:rsid w:val="005B0830"/>
    <w:rsid w:val="005B1C73"/>
    <w:rsid w:val="005B1D1C"/>
    <w:rsid w:val="005B2709"/>
    <w:rsid w:val="005B6AF4"/>
    <w:rsid w:val="005B7A73"/>
    <w:rsid w:val="005C04CB"/>
    <w:rsid w:val="005C05AB"/>
    <w:rsid w:val="005C21A0"/>
    <w:rsid w:val="005C2C2B"/>
    <w:rsid w:val="005C32B0"/>
    <w:rsid w:val="005C45DB"/>
    <w:rsid w:val="005C5BE1"/>
    <w:rsid w:val="005C63B4"/>
    <w:rsid w:val="005C6E70"/>
    <w:rsid w:val="005C710C"/>
    <w:rsid w:val="005D16AD"/>
    <w:rsid w:val="005D5A51"/>
    <w:rsid w:val="005D72E1"/>
    <w:rsid w:val="005E19D7"/>
    <w:rsid w:val="005E2BAA"/>
    <w:rsid w:val="005E58A0"/>
    <w:rsid w:val="005E6151"/>
    <w:rsid w:val="005E6E16"/>
    <w:rsid w:val="005E6EF8"/>
    <w:rsid w:val="005F0781"/>
    <w:rsid w:val="005F3CB7"/>
    <w:rsid w:val="005F400E"/>
    <w:rsid w:val="005F7342"/>
    <w:rsid w:val="005F738B"/>
    <w:rsid w:val="00600F0F"/>
    <w:rsid w:val="00603A08"/>
    <w:rsid w:val="00603B80"/>
    <w:rsid w:val="006041D2"/>
    <w:rsid w:val="00604B4A"/>
    <w:rsid w:val="006051EE"/>
    <w:rsid w:val="006073B3"/>
    <w:rsid w:val="006073F1"/>
    <w:rsid w:val="0060778C"/>
    <w:rsid w:val="006077DA"/>
    <w:rsid w:val="00607CC6"/>
    <w:rsid w:val="00610A3C"/>
    <w:rsid w:val="006120C7"/>
    <w:rsid w:val="006135AD"/>
    <w:rsid w:val="00615352"/>
    <w:rsid w:val="00615C86"/>
    <w:rsid w:val="006250DC"/>
    <w:rsid w:val="006252F7"/>
    <w:rsid w:val="006259C3"/>
    <w:rsid w:val="00627F48"/>
    <w:rsid w:val="00630C23"/>
    <w:rsid w:val="00630D77"/>
    <w:rsid w:val="00631812"/>
    <w:rsid w:val="00634431"/>
    <w:rsid w:val="00635DDC"/>
    <w:rsid w:val="00635E2E"/>
    <w:rsid w:val="006412C1"/>
    <w:rsid w:val="006429A6"/>
    <w:rsid w:val="00644225"/>
    <w:rsid w:val="006460AB"/>
    <w:rsid w:val="00650B63"/>
    <w:rsid w:val="006555C8"/>
    <w:rsid w:val="0065686C"/>
    <w:rsid w:val="00663FCF"/>
    <w:rsid w:val="006652A2"/>
    <w:rsid w:val="0066702D"/>
    <w:rsid w:val="00667ED6"/>
    <w:rsid w:val="00670E85"/>
    <w:rsid w:val="00671CB2"/>
    <w:rsid w:val="00671FC8"/>
    <w:rsid w:val="00672A17"/>
    <w:rsid w:val="00673FB8"/>
    <w:rsid w:val="00677F52"/>
    <w:rsid w:val="0068209E"/>
    <w:rsid w:val="006830A3"/>
    <w:rsid w:val="00683A22"/>
    <w:rsid w:val="00684D7B"/>
    <w:rsid w:val="0068531F"/>
    <w:rsid w:val="006854B0"/>
    <w:rsid w:val="00685523"/>
    <w:rsid w:val="00685690"/>
    <w:rsid w:val="006866C7"/>
    <w:rsid w:val="006873C6"/>
    <w:rsid w:val="00690206"/>
    <w:rsid w:val="00690717"/>
    <w:rsid w:val="006937FF"/>
    <w:rsid w:val="00696285"/>
    <w:rsid w:val="00696DAD"/>
    <w:rsid w:val="006A2478"/>
    <w:rsid w:val="006A48A7"/>
    <w:rsid w:val="006A5EB3"/>
    <w:rsid w:val="006A6267"/>
    <w:rsid w:val="006A7EA0"/>
    <w:rsid w:val="006B14CE"/>
    <w:rsid w:val="006B1EA3"/>
    <w:rsid w:val="006B3C32"/>
    <w:rsid w:val="006B4BA1"/>
    <w:rsid w:val="006B5EBE"/>
    <w:rsid w:val="006B6CD1"/>
    <w:rsid w:val="006B75BC"/>
    <w:rsid w:val="006C27F9"/>
    <w:rsid w:val="006C4207"/>
    <w:rsid w:val="006C57AD"/>
    <w:rsid w:val="006C5CF5"/>
    <w:rsid w:val="006D2F5C"/>
    <w:rsid w:val="006D46E4"/>
    <w:rsid w:val="006D5C90"/>
    <w:rsid w:val="006E50B8"/>
    <w:rsid w:val="006E5658"/>
    <w:rsid w:val="006F4A82"/>
    <w:rsid w:val="007032C1"/>
    <w:rsid w:val="0070373B"/>
    <w:rsid w:val="00707102"/>
    <w:rsid w:val="007072AF"/>
    <w:rsid w:val="00710BBF"/>
    <w:rsid w:val="00710F5C"/>
    <w:rsid w:val="00715D11"/>
    <w:rsid w:val="007201E2"/>
    <w:rsid w:val="00720636"/>
    <w:rsid w:val="007219A4"/>
    <w:rsid w:val="00722D11"/>
    <w:rsid w:val="00723310"/>
    <w:rsid w:val="00723C8E"/>
    <w:rsid w:val="00724FA4"/>
    <w:rsid w:val="00727851"/>
    <w:rsid w:val="00730800"/>
    <w:rsid w:val="00730B22"/>
    <w:rsid w:val="00732449"/>
    <w:rsid w:val="0073275F"/>
    <w:rsid w:val="007338B8"/>
    <w:rsid w:val="00737704"/>
    <w:rsid w:val="00737C20"/>
    <w:rsid w:val="00743D1B"/>
    <w:rsid w:val="00744648"/>
    <w:rsid w:val="0075127C"/>
    <w:rsid w:val="00752B3B"/>
    <w:rsid w:val="00752C7A"/>
    <w:rsid w:val="007554E5"/>
    <w:rsid w:val="00756F6E"/>
    <w:rsid w:val="007602AA"/>
    <w:rsid w:val="00762A6E"/>
    <w:rsid w:val="00763D97"/>
    <w:rsid w:val="007652EF"/>
    <w:rsid w:val="00765F24"/>
    <w:rsid w:val="00767D1E"/>
    <w:rsid w:val="00770095"/>
    <w:rsid w:val="00772BDC"/>
    <w:rsid w:val="00777364"/>
    <w:rsid w:val="00777F1A"/>
    <w:rsid w:val="00780792"/>
    <w:rsid w:val="007817C5"/>
    <w:rsid w:val="0078367F"/>
    <w:rsid w:val="00785ABF"/>
    <w:rsid w:val="00791EE9"/>
    <w:rsid w:val="00793C7E"/>
    <w:rsid w:val="007945EA"/>
    <w:rsid w:val="00794644"/>
    <w:rsid w:val="00795903"/>
    <w:rsid w:val="00796562"/>
    <w:rsid w:val="00796DA0"/>
    <w:rsid w:val="007A09CC"/>
    <w:rsid w:val="007A0DCA"/>
    <w:rsid w:val="007A44B4"/>
    <w:rsid w:val="007A49A8"/>
    <w:rsid w:val="007A5E8C"/>
    <w:rsid w:val="007A6D32"/>
    <w:rsid w:val="007A6F00"/>
    <w:rsid w:val="007A79CF"/>
    <w:rsid w:val="007A7D3D"/>
    <w:rsid w:val="007B0C6B"/>
    <w:rsid w:val="007B225D"/>
    <w:rsid w:val="007B2EDF"/>
    <w:rsid w:val="007B4882"/>
    <w:rsid w:val="007B68E4"/>
    <w:rsid w:val="007C174F"/>
    <w:rsid w:val="007C1C64"/>
    <w:rsid w:val="007C2C7B"/>
    <w:rsid w:val="007C4A3D"/>
    <w:rsid w:val="007C4AAF"/>
    <w:rsid w:val="007C4D2E"/>
    <w:rsid w:val="007C7647"/>
    <w:rsid w:val="007D03EA"/>
    <w:rsid w:val="007D14A1"/>
    <w:rsid w:val="007D191A"/>
    <w:rsid w:val="007D40C7"/>
    <w:rsid w:val="007E2087"/>
    <w:rsid w:val="007E430C"/>
    <w:rsid w:val="007E45EB"/>
    <w:rsid w:val="007E48BC"/>
    <w:rsid w:val="007E4D64"/>
    <w:rsid w:val="007E6788"/>
    <w:rsid w:val="007E79F7"/>
    <w:rsid w:val="007E7B0B"/>
    <w:rsid w:val="007F2AFE"/>
    <w:rsid w:val="007F3630"/>
    <w:rsid w:val="007F3F77"/>
    <w:rsid w:val="007F4758"/>
    <w:rsid w:val="007F614C"/>
    <w:rsid w:val="007F7129"/>
    <w:rsid w:val="007F75F3"/>
    <w:rsid w:val="00801C09"/>
    <w:rsid w:val="00804DBC"/>
    <w:rsid w:val="008061D3"/>
    <w:rsid w:val="00807559"/>
    <w:rsid w:val="0081268C"/>
    <w:rsid w:val="00813395"/>
    <w:rsid w:val="00813A90"/>
    <w:rsid w:val="008146BE"/>
    <w:rsid w:val="00815938"/>
    <w:rsid w:val="00816128"/>
    <w:rsid w:val="008167E6"/>
    <w:rsid w:val="00816D8A"/>
    <w:rsid w:val="00824DCA"/>
    <w:rsid w:val="00825693"/>
    <w:rsid w:val="00826E30"/>
    <w:rsid w:val="00827462"/>
    <w:rsid w:val="0083284E"/>
    <w:rsid w:val="00836EE9"/>
    <w:rsid w:val="00837C9C"/>
    <w:rsid w:val="0084057B"/>
    <w:rsid w:val="00841B69"/>
    <w:rsid w:val="00841F25"/>
    <w:rsid w:val="008450BC"/>
    <w:rsid w:val="008453A9"/>
    <w:rsid w:val="008518EB"/>
    <w:rsid w:val="0085285A"/>
    <w:rsid w:val="0085334B"/>
    <w:rsid w:val="00854F2A"/>
    <w:rsid w:val="00855760"/>
    <w:rsid w:val="008576AE"/>
    <w:rsid w:val="008611CB"/>
    <w:rsid w:val="008622CE"/>
    <w:rsid w:val="00863EDD"/>
    <w:rsid w:val="00866C26"/>
    <w:rsid w:val="00867E31"/>
    <w:rsid w:val="008700F3"/>
    <w:rsid w:val="00870214"/>
    <w:rsid w:val="0087194F"/>
    <w:rsid w:val="00874971"/>
    <w:rsid w:val="00875A99"/>
    <w:rsid w:val="00876305"/>
    <w:rsid w:val="00880622"/>
    <w:rsid w:val="00880F2A"/>
    <w:rsid w:val="0088165A"/>
    <w:rsid w:val="00883036"/>
    <w:rsid w:val="00883F17"/>
    <w:rsid w:val="00885C51"/>
    <w:rsid w:val="00885EB0"/>
    <w:rsid w:val="00887741"/>
    <w:rsid w:val="00891530"/>
    <w:rsid w:val="00891DC8"/>
    <w:rsid w:val="00891F4B"/>
    <w:rsid w:val="0089264A"/>
    <w:rsid w:val="0089410F"/>
    <w:rsid w:val="00894D4D"/>
    <w:rsid w:val="0089629D"/>
    <w:rsid w:val="00896B85"/>
    <w:rsid w:val="008A2132"/>
    <w:rsid w:val="008A22BE"/>
    <w:rsid w:val="008A23A8"/>
    <w:rsid w:val="008A39E4"/>
    <w:rsid w:val="008A513F"/>
    <w:rsid w:val="008A54B8"/>
    <w:rsid w:val="008A5CAD"/>
    <w:rsid w:val="008A7D85"/>
    <w:rsid w:val="008B372C"/>
    <w:rsid w:val="008C0160"/>
    <w:rsid w:val="008C046D"/>
    <w:rsid w:val="008C1155"/>
    <w:rsid w:val="008C1B36"/>
    <w:rsid w:val="008C1F64"/>
    <w:rsid w:val="008C5064"/>
    <w:rsid w:val="008C5D45"/>
    <w:rsid w:val="008C6964"/>
    <w:rsid w:val="008D056C"/>
    <w:rsid w:val="008D06C6"/>
    <w:rsid w:val="008D0FC3"/>
    <w:rsid w:val="008D2F0E"/>
    <w:rsid w:val="008D6EBC"/>
    <w:rsid w:val="008E5256"/>
    <w:rsid w:val="008E6250"/>
    <w:rsid w:val="008E6597"/>
    <w:rsid w:val="008E7D5B"/>
    <w:rsid w:val="008F156A"/>
    <w:rsid w:val="008F230D"/>
    <w:rsid w:val="008F4F0D"/>
    <w:rsid w:val="008F5139"/>
    <w:rsid w:val="00900AC1"/>
    <w:rsid w:val="00901607"/>
    <w:rsid w:val="00902AF6"/>
    <w:rsid w:val="00904AA3"/>
    <w:rsid w:val="00905ED6"/>
    <w:rsid w:val="009069B4"/>
    <w:rsid w:val="0090736E"/>
    <w:rsid w:val="00907BAC"/>
    <w:rsid w:val="00907EF3"/>
    <w:rsid w:val="00907F8C"/>
    <w:rsid w:val="00913012"/>
    <w:rsid w:val="009139CF"/>
    <w:rsid w:val="00915821"/>
    <w:rsid w:val="00915A4C"/>
    <w:rsid w:val="009164C7"/>
    <w:rsid w:val="00920249"/>
    <w:rsid w:val="009216CC"/>
    <w:rsid w:val="00922193"/>
    <w:rsid w:val="009224D6"/>
    <w:rsid w:val="00924C80"/>
    <w:rsid w:val="009316FF"/>
    <w:rsid w:val="00932F14"/>
    <w:rsid w:val="00933CBF"/>
    <w:rsid w:val="00936045"/>
    <w:rsid w:val="00937C73"/>
    <w:rsid w:val="009404AC"/>
    <w:rsid w:val="0094247F"/>
    <w:rsid w:val="00942D60"/>
    <w:rsid w:val="00943496"/>
    <w:rsid w:val="009448D7"/>
    <w:rsid w:val="00945F8D"/>
    <w:rsid w:val="00954470"/>
    <w:rsid w:val="00955C5E"/>
    <w:rsid w:val="009610B6"/>
    <w:rsid w:val="009618E8"/>
    <w:rsid w:val="0096523B"/>
    <w:rsid w:val="00966EE3"/>
    <w:rsid w:val="009711F1"/>
    <w:rsid w:val="00972D06"/>
    <w:rsid w:val="009736C9"/>
    <w:rsid w:val="00975638"/>
    <w:rsid w:val="00980D36"/>
    <w:rsid w:val="009839EA"/>
    <w:rsid w:val="00984383"/>
    <w:rsid w:val="00985E94"/>
    <w:rsid w:val="00986E90"/>
    <w:rsid w:val="009915E3"/>
    <w:rsid w:val="00991712"/>
    <w:rsid w:val="00992228"/>
    <w:rsid w:val="00992282"/>
    <w:rsid w:val="00994703"/>
    <w:rsid w:val="00995B3B"/>
    <w:rsid w:val="009961F9"/>
    <w:rsid w:val="009968F6"/>
    <w:rsid w:val="009A028E"/>
    <w:rsid w:val="009A0A54"/>
    <w:rsid w:val="009A0C77"/>
    <w:rsid w:val="009A391C"/>
    <w:rsid w:val="009A50F2"/>
    <w:rsid w:val="009A6010"/>
    <w:rsid w:val="009A7EE3"/>
    <w:rsid w:val="009B1A18"/>
    <w:rsid w:val="009B2F7F"/>
    <w:rsid w:val="009B4101"/>
    <w:rsid w:val="009B7EF8"/>
    <w:rsid w:val="009C086E"/>
    <w:rsid w:val="009C1279"/>
    <w:rsid w:val="009C1C81"/>
    <w:rsid w:val="009C764C"/>
    <w:rsid w:val="009D16AF"/>
    <w:rsid w:val="009D241A"/>
    <w:rsid w:val="009D382D"/>
    <w:rsid w:val="009D7703"/>
    <w:rsid w:val="009E0A61"/>
    <w:rsid w:val="009E1052"/>
    <w:rsid w:val="009E2BE2"/>
    <w:rsid w:val="009E2E6A"/>
    <w:rsid w:val="009E3010"/>
    <w:rsid w:val="009E394E"/>
    <w:rsid w:val="009E3BE3"/>
    <w:rsid w:val="009E51C1"/>
    <w:rsid w:val="009E5D88"/>
    <w:rsid w:val="009E5E7B"/>
    <w:rsid w:val="009E6C4A"/>
    <w:rsid w:val="009F004E"/>
    <w:rsid w:val="009F007E"/>
    <w:rsid w:val="009F15A6"/>
    <w:rsid w:val="009F2E55"/>
    <w:rsid w:val="009F4510"/>
    <w:rsid w:val="009F5D19"/>
    <w:rsid w:val="009F641D"/>
    <w:rsid w:val="009F7065"/>
    <w:rsid w:val="00A0041A"/>
    <w:rsid w:val="00A024E2"/>
    <w:rsid w:val="00A049A3"/>
    <w:rsid w:val="00A073D5"/>
    <w:rsid w:val="00A07F13"/>
    <w:rsid w:val="00A10694"/>
    <w:rsid w:val="00A107D1"/>
    <w:rsid w:val="00A11315"/>
    <w:rsid w:val="00A11A4C"/>
    <w:rsid w:val="00A1232E"/>
    <w:rsid w:val="00A12AE3"/>
    <w:rsid w:val="00A12CB7"/>
    <w:rsid w:val="00A14B93"/>
    <w:rsid w:val="00A16C87"/>
    <w:rsid w:val="00A21748"/>
    <w:rsid w:val="00A25DF4"/>
    <w:rsid w:val="00A27E5D"/>
    <w:rsid w:val="00A31541"/>
    <w:rsid w:val="00A33A38"/>
    <w:rsid w:val="00A340C9"/>
    <w:rsid w:val="00A3524A"/>
    <w:rsid w:val="00A378B4"/>
    <w:rsid w:val="00A4175D"/>
    <w:rsid w:val="00A419A8"/>
    <w:rsid w:val="00A41F3D"/>
    <w:rsid w:val="00A434A9"/>
    <w:rsid w:val="00A43574"/>
    <w:rsid w:val="00A5584B"/>
    <w:rsid w:val="00A563F3"/>
    <w:rsid w:val="00A56CCF"/>
    <w:rsid w:val="00A56DC7"/>
    <w:rsid w:val="00A631D7"/>
    <w:rsid w:val="00A63A16"/>
    <w:rsid w:val="00A63C33"/>
    <w:rsid w:val="00A66090"/>
    <w:rsid w:val="00A67C10"/>
    <w:rsid w:val="00A711FC"/>
    <w:rsid w:val="00A71F95"/>
    <w:rsid w:val="00A74FD1"/>
    <w:rsid w:val="00A75A6A"/>
    <w:rsid w:val="00A77BFA"/>
    <w:rsid w:val="00A817CC"/>
    <w:rsid w:val="00A83ADD"/>
    <w:rsid w:val="00A84A58"/>
    <w:rsid w:val="00A859D3"/>
    <w:rsid w:val="00A8628F"/>
    <w:rsid w:val="00A86A45"/>
    <w:rsid w:val="00A93D2C"/>
    <w:rsid w:val="00A94537"/>
    <w:rsid w:val="00A969A3"/>
    <w:rsid w:val="00A96AC5"/>
    <w:rsid w:val="00A970FE"/>
    <w:rsid w:val="00AA0D58"/>
    <w:rsid w:val="00AA2528"/>
    <w:rsid w:val="00AA6E5B"/>
    <w:rsid w:val="00AA6FB3"/>
    <w:rsid w:val="00AB02A3"/>
    <w:rsid w:val="00AB1AD9"/>
    <w:rsid w:val="00AB2340"/>
    <w:rsid w:val="00AB2C77"/>
    <w:rsid w:val="00AB4EF1"/>
    <w:rsid w:val="00AB6B8B"/>
    <w:rsid w:val="00AC286E"/>
    <w:rsid w:val="00AC6A47"/>
    <w:rsid w:val="00AC6AAB"/>
    <w:rsid w:val="00AC7C9F"/>
    <w:rsid w:val="00AD278A"/>
    <w:rsid w:val="00AD4231"/>
    <w:rsid w:val="00AD4CF5"/>
    <w:rsid w:val="00AD7BAE"/>
    <w:rsid w:val="00AE121C"/>
    <w:rsid w:val="00AE5274"/>
    <w:rsid w:val="00AE6A51"/>
    <w:rsid w:val="00AE7235"/>
    <w:rsid w:val="00AF06FC"/>
    <w:rsid w:val="00AF075A"/>
    <w:rsid w:val="00AF1D64"/>
    <w:rsid w:val="00AF3391"/>
    <w:rsid w:val="00AF368C"/>
    <w:rsid w:val="00AF387F"/>
    <w:rsid w:val="00B00E7F"/>
    <w:rsid w:val="00B018F9"/>
    <w:rsid w:val="00B01B5E"/>
    <w:rsid w:val="00B038EA"/>
    <w:rsid w:val="00B05A6A"/>
    <w:rsid w:val="00B11254"/>
    <w:rsid w:val="00B12F1E"/>
    <w:rsid w:val="00B14289"/>
    <w:rsid w:val="00B16124"/>
    <w:rsid w:val="00B168E5"/>
    <w:rsid w:val="00B16BE5"/>
    <w:rsid w:val="00B173DA"/>
    <w:rsid w:val="00B21DCC"/>
    <w:rsid w:val="00B224A5"/>
    <w:rsid w:val="00B244DC"/>
    <w:rsid w:val="00B25F37"/>
    <w:rsid w:val="00B2600D"/>
    <w:rsid w:val="00B31305"/>
    <w:rsid w:val="00B3254F"/>
    <w:rsid w:val="00B32600"/>
    <w:rsid w:val="00B33683"/>
    <w:rsid w:val="00B33901"/>
    <w:rsid w:val="00B36464"/>
    <w:rsid w:val="00B3711A"/>
    <w:rsid w:val="00B37BF0"/>
    <w:rsid w:val="00B405CD"/>
    <w:rsid w:val="00B43A8E"/>
    <w:rsid w:val="00B44422"/>
    <w:rsid w:val="00B44550"/>
    <w:rsid w:val="00B44E18"/>
    <w:rsid w:val="00B46EA0"/>
    <w:rsid w:val="00B528BC"/>
    <w:rsid w:val="00B54AC1"/>
    <w:rsid w:val="00B5527F"/>
    <w:rsid w:val="00B57211"/>
    <w:rsid w:val="00B65593"/>
    <w:rsid w:val="00B712CA"/>
    <w:rsid w:val="00B731D3"/>
    <w:rsid w:val="00B761B0"/>
    <w:rsid w:val="00B77440"/>
    <w:rsid w:val="00B816FC"/>
    <w:rsid w:val="00B839A3"/>
    <w:rsid w:val="00B845CC"/>
    <w:rsid w:val="00B86541"/>
    <w:rsid w:val="00B86B6A"/>
    <w:rsid w:val="00B902BD"/>
    <w:rsid w:val="00B90505"/>
    <w:rsid w:val="00B906BD"/>
    <w:rsid w:val="00B91F72"/>
    <w:rsid w:val="00B92797"/>
    <w:rsid w:val="00B93F34"/>
    <w:rsid w:val="00B97A25"/>
    <w:rsid w:val="00BA055C"/>
    <w:rsid w:val="00BA24E2"/>
    <w:rsid w:val="00BA33FA"/>
    <w:rsid w:val="00BA49B9"/>
    <w:rsid w:val="00BA54DA"/>
    <w:rsid w:val="00BC2C88"/>
    <w:rsid w:val="00BC35C8"/>
    <w:rsid w:val="00BC4590"/>
    <w:rsid w:val="00BC542A"/>
    <w:rsid w:val="00BC5657"/>
    <w:rsid w:val="00BD00AC"/>
    <w:rsid w:val="00BD1921"/>
    <w:rsid w:val="00BD204B"/>
    <w:rsid w:val="00BD2A39"/>
    <w:rsid w:val="00BD2E80"/>
    <w:rsid w:val="00BD6967"/>
    <w:rsid w:val="00BD7C3D"/>
    <w:rsid w:val="00BE00B5"/>
    <w:rsid w:val="00BE0219"/>
    <w:rsid w:val="00BE11B8"/>
    <w:rsid w:val="00BE2592"/>
    <w:rsid w:val="00BE5F3F"/>
    <w:rsid w:val="00BE6312"/>
    <w:rsid w:val="00BE77C7"/>
    <w:rsid w:val="00BF0041"/>
    <w:rsid w:val="00BF3D11"/>
    <w:rsid w:val="00BF54AD"/>
    <w:rsid w:val="00BF5F61"/>
    <w:rsid w:val="00BF6512"/>
    <w:rsid w:val="00BF6F29"/>
    <w:rsid w:val="00BF7BCF"/>
    <w:rsid w:val="00BF7FF0"/>
    <w:rsid w:val="00C013C6"/>
    <w:rsid w:val="00C037CB"/>
    <w:rsid w:val="00C04001"/>
    <w:rsid w:val="00C04F5F"/>
    <w:rsid w:val="00C050FF"/>
    <w:rsid w:val="00C057D9"/>
    <w:rsid w:val="00C057F4"/>
    <w:rsid w:val="00C05D5D"/>
    <w:rsid w:val="00C06609"/>
    <w:rsid w:val="00C12502"/>
    <w:rsid w:val="00C12710"/>
    <w:rsid w:val="00C136C8"/>
    <w:rsid w:val="00C17228"/>
    <w:rsid w:val="00C21F6B"/>
    <w:rsid w:val="00C24E1B"/>
    <w:rsid w:val="00C25786"/>
    <w:rsid w:val="00C3333F"/>
    <w:rsid w:val="00C333E8"/>
    <w:rsid w:val="00C36578"/>
    <w:rsid w:val="00C37173"/>
    <w:rsid w:val="00C40AA5"/>
    <w:rsid w:val="00C42642"/>
    <w:rsid w:val="00C43B65"/>
    <w:rsid w:val="00C44AA9"/>
    <w:rsid w:val="00C4611A"/>
    <w:rsid w:val="00C46ADB"/>
    <w:rsid w:val="00C46BAB"/>
    <w:rsid w:val="00C46F70"/>
    <w:rsid w:val="00C476D0"/>
    <w:rsid w:val="00C50A2F"/>
    <w:rsid w:val="00C516E5"/>
    <w:rsid w:val="00C51BCE"/>
    <w:rsid w:val="00C52BE9"/>
    <w:rsid w:val="00C52FC0"/>
    <w:rsid w:val="00C54EC7"/>
    <w:rsid w:val="00C5552B"/>
    <w:rsid w:val="00C56363"/>
    <w:rsid w:val="00C61AC1"/>
    <w:rsid w:val="00C628BC"/>
    <w:rsid w:val="00C65865"/>
    <w:rsid w:val="00C665B2"/>
    <w:rsid w:val="00C71323"/>
    <w:rsid w:val="00C758C8"/>
    <w:rsid w:val="00C76AD6"/>
    <w:rsid w:val="00C8284E"/>
    <w:rsid w:val="00C836E3"/>
    <w:rsid w:val="00C83DEE"/>
    <w:rsid w:val="00C8584D"/>
    <w:rsid w:val="00C86577"/>
    <w:rsid w:val="00C921E1"/>
    <w:rsid w:val="00C929CC"/>
    <w:rsid w:val="00C92E07"/>
    <w:rsid w:val="00C93CBD"/>
    <w:rsid w:val="00C95617"/>
    <w:rsid w:val="00C96868"/>
    <w:rsid w:val="00CA0416"/>
    <w:rsid w:val="00CA36FE"/>
    <w:rsid w:val="00CA3955"/>
    <w:rsid w:val="00CA6404"/>
    <w:rsid w:val="00CA797B"/>
    <w:rsid w:val="00CA79AB"/>
    <w:rsid w:val="00CB09C9"/>
    <w:rsid w:val="00CB14D3"/>
    <w:rsid w:val="00CB27EB"/>
    <w:rsid w:val="00CB40DF"/>
    <w:rsid w:val="00CB480E"/>
    <w:rsid w:val="00CB577D"/>
    <w:rsid w:val="00CB6485"/>
    <w:rsid w:val="00CB799B"/>
    <w:rsid w:val="00CC0454"/>
    <w:rsid w:val="00CC196E"/>
    <w:rsid w:val="00CC30E9"/>
    <w:rsid w:val="00CC4320"/>
    <w:rsid w:val="00CC507D"/>
    <w:rsid w:val="00CC560B"/>
    <w:rsid w:val="00CC561E"/>
    <w:rsid w:val="00CC6449"/>
    <w:rsid w:val="00CC75E2"/>
    <w:rsid w:val="00CD09CD"/>
    <w:rsid w:val="00CD14AA"/>
    <w:rsid w:val="00CD411B"/>
    <w:rsid w:val="00CD46EB"/>
    <w:rsid w:val="00CD6845"/>
    <w:rsid w:val="00CD6DAF"/>
    <w:rsid w:val="00CD7EBF"/>
    <w:rsid w:val="00CE1F4B"/>
    <w:rsid w:val="00CE3A68"/>
    <w:rsid w:val="00CF2AFE"/>
    <w:rsid w:val="00CF54F1"/>
    <w:rsid w:val="00CF6038"/>
    <w:rsid w:val="00CF6293"/>
    <w:rsid w:val="00CF6DE9"/>
    <w:rsid w:val="00D008CA"/>
    <w:rsid w:val="00D01843"/>
    <w:rsid w:val="00D019A2"/>
    <w:rsid w:val="00D02F79"/>
    <w:rsid w:val="00D04FD8"/>
    <w:rsid w:val="00D056F1"/>
    <w:rsid w:val="00D05C42"/>
    <w:rsid w:val="00D070E4"/>
    <w:rsid w:val="00D10AD8"/>
    <w:rsid w:val="00D11171"/>
    <w:rsid w:val="00D11688"/>
    <w:rsid w:val="00D150AA"/>
    <w:rsid w:val="00D17352"/>
    <w:rsid w:val="00D201AD"/>
    <w:rsid w:val="00D2080C"/>
    <w:rsid w:val="00D22F3C"/>
    <w:rsid w:val="00D23038"/>
    <w:rsid w:val="00D23978"/>
    <w:rsid w:val="00D23DB6"/>
    <w:rsid w:val="00D24F90"/>
    <w:rsid w:val="00D254A1"/>
    <w:rsid w:val="00D25AB8"/>
    <w:rsid w:val="00D30B59"/>
    <w:rsid w:val="00D30BB1"/>
    <w:rsid w:val="00D37C29"/>
    <w:rsid w:val="00D37F95"/>
    <w:rsid w:val="00D402D1"/>
    <w:rsid w:val="00D40DC6"/>
    <w:rsid w:val="00D41CB6"/>
    <w:rsid w:val="00D42072"/>
    <w:rsid w:val="00D43FE6"/>
    <w:rsid w:val="00D47D35"/>
    <w:rsid w:val="00D51A95"/>
    <w:rsid w:val="00D54D51"/>
    <w:rsid w:val="00D561A3"/>
    <w:rsid w:val="00D60568"/>
    <w:rsid w:val="00D6068A"/>
    <w:rsid w:val="00D61C4F"/>
    <w:rsid w:val="00D6552D"/>
    <w:rsid w:val="00D66086"/>
    <w:rsid w:val="00D665E0"/>
    <w:rsid w:val="00D67856"/>
    <w:rsid w:val="00D70194"/>
    <w:rsid w:val="00D70C7A"/>
    <w:rsid w:val="00D71E62"/>
    <w:rsid w:val="00D730B9"/>
    <w:rsid w:val="00D73AE9"/>
    <w:rsid w:val="00D7467D"/>
    <w:rsid w:val="00D75405"/>
    <w:rsid w:val="00D7543A"/>
    <w:rsid w:val="00D75CA5"/>
    <w:rsid w:val="00D81D38"/>
    <w:rsid w:val="00D83304"/>
    <w:rsid w:val="00D83A70"/>
    <w:rsid w:val="00D86928"/>
    <w:rsid w:val="00D87DE8"/>
    <w:rsid w:val="00D90432"/>
    <w:rsid w:val="00D9620E"/>
    <w:rsid w:val="00DA01A6"/>
    <w:rsid w:val="00DA04EE"/>
    <w:rsid w:val="00DA09BF"/>
    <w:rsid w:val="00DA10A8"/>
    <w:rsid w:val="00DA3C52"/>
    <w:rsid w:val="00DA5C4C"/>
    <w:rsid w:val="00DB1E08"/>
    <w:rsid w:val="00DB2268"/>
    <w:rsid w:val="00DB28B6"/>
    <w:rsid w:val="00DB2973"/>
    <w:rsid w:val="00DB63DF"/>
    <w:rsid w:val="00DC1B56"/>
    <w:rsid w:val="00DC2129"/>
    <w:rsid w:val="00DC323C"/>
    <w:rsid w:val="00DC4FCE"/>
    <w:rsid w:val="00DC6570"/>
    <w:rsid w:val="00DD08D4"/>
    <w:rsid w:val="00DD2AB1"/>
    <w:rsid w:val="00DD38EA"/>
    <w:rsid w:val="00DD3C5E"/>
    <w:rsid w:val="00DD4E3E"/>
    <w:rsid w:val="00DD760C"/>
    <w:rsid w:val="00DE0641"/>
    <w:rsid w:val="00DE35DB"/>
    <w:rsid w:val="00DE7DBD"/>
    <w:rsid w:val="00DF0BB1"/>
    <w:rsid w:val="00DF25C3"/>
    <w:rsid w:val="00E00CB9"/>
    <w:rsid w:val="00E04062"/>
    <w:rsid w:val="00E063C6"/>
    <w:rsid w:val="00E066BA"/>
    <w:rsid w:val="00E07BBF"/>
    <w:rsid w:val="00E07E23"/>
    <w:rsid w:val="00E10A94"/>
    <w:rsid w:val="00E17BEC"/>
    <w:rsid w:val="00E17FDA"/>
    <w:rsid w:val="00E2003B"/>
    <w:rsid w:val="00E203C2"/>
    <w:rsid w:val="00E21C51"/>
    <w:rsid w:val="00E23E26"/>
    <w:rsid w:val="00E24345"/>
    <w:rsid w:val="00E24491"/>
    <w:rsid w:val="00E26E81"/>
    <w:rsid w:val="00E279D8"/>
    <w:rsid w:val="00E30D59"/>
    <w:rsid w:val="00E319B1"/>
    <w:rsid w:val="00E31AE1"/>
    <w:rsid w:val="00E32528"/>
    <w:rsid w:val="00E32ACE"/>
    <w:rsid w:val="00E34C83"/>
    <w:rsid w:val="00E351C3"/>
    <w:rsid w:val="00E359D6"/>
    <w:rsid w:val="00E42BB8"/>
    <w:rsid w:val="00E44E0D"/>
    <w:rsid w:val="00E47A86"/>
    <w:rsid w:val="00E47B73"/>
    <w:rsid w:val="00E519D3"/>
    <w:rsid w:val="00E527AA"/>
    <w:rsid w:val="00E5492F"/>
    <w:rsid w:val="00E54E6B"/>
    <w:rsid w:val="00E62DEF"/>
    <w:rsid w:val="00E63050"/>
    <w:rsid w:val="00E6411A"/>
    <w:rsid w:val="00E6779E"/>
    <w:rsid w:val="00E70A86"/>
    <w:rsid w:val="00E71C08"/>
    <w:rsid w:val="00E7407B"/>
    <w:rsid w:val="00E744E3"/>
    <w:rsid w:val="00E744E8"/>
    <w:rsid w:val="00E7499B"/>
    <w:rsid w:val="00E74D43"/>
    <w:rsid w:val="00E75F6D"/>
    <w:rsid w:val="00E777EC"/>
    <w:rsid w:val="00E80DDB"/>
    <w:rsid w:val="00E80FCD"/>
    <w:rsid w:val="00E85511"/>
    <w:rsid w:val="00E8739E"/>
    <w:rsid w:val="00E9137E"/>
    <w:rsid w:val="00E91864"/>
    <w:rsid w:val="00E92D8F"/>
    <w:rsid w:val="00E95F84"/>
    <w:rsid w:val="00E96224"/>
    <w:rsid w:val="00EA3F54"/>
    <w:rsid w:val="00EA447E"/>
    <w:rsid w:val="00EA589F"/>
    <w:rsid w:val="00EA5BE2"/>
    <w:rsid w:val="00EA5F06"/>
    <w:rsid w:val="00EA66D9"/>
    <w:rsid w:val="00EA7F2F"/>
    <w:rsid w:val="00EB2511"/>
    <w:rsid w:val="00EB2F47"/>
    <w:rsid w:val="00EB3653"/>
    <w:rsid w:val="00EB3C72"/>
    <w:rsid w:val="00EB451D"/>
    <w:rsid w:val="00EB6ADF"/>
    <w:rsid w:val="00EC00DE"/>
    <w:rsid w:val="00EC30E1"/>
    <w:rsid w:val="00EC37A7"/>
    <w:rsid w:val="00EC5266"/>
    <w:rsid w:val="00ED07EA"/>
    <w:rsid w:val="00ED15F9"/>
    <w:rsid w:val="00ED172A"/>
    <w:rsid w:val="00ED249E"/>
    <w:rsid w:val="00ED44C6"/>
    <w:rsid w:val="00ED603E"/>
    <w:rsid w:val="00ED733E"/>
    <w:rsid w:val="00EE0225"/>
    <w:rsid w:val="00EE5443"/>
    <w:rsid w:val="00EE7562"/>
    <w:rsid w:val="00EF1617"/>
    <w:rsid w:val="00EF178B"/>
    <w:rsid w:val="00EF275B"/>
    <w:rsid w:val="00EF314B"/>
    <w:rsid w:val="00EF3A09"/>
    <w:rsid w:val="00EF3B05"/>
    <w:rsid w:val="00EF54D2"/>
    <w:rsid w:val="00EF6472"/>
    <w:rsid w:val="00F034B7"/>
    <w:rsid w:val="00F04409"/>
    <w:rsid w:val="00F05977"/>
    <w:rsid w:val="00F05DF7"/>
    <w:rsid w:val="00F072C3"/>
    <w:rsid w:val="00F07C4B"/>
    <w:rsid w:val="00F11F6C"/>
    <w:rsid w:val="00F14BEC"/>
    <w:rsid w:val="00F14DC3"/>
    <w:rsid w:val="00F15598"/>
    <w:rsid w:val="00F15C80"/>
    <w:rsid w:val="00F17138"/>
    <w:rsid w:val="00F20905"/>
    <w:rsid w:val="00F21645"/>
    <w:rsid w:val="00F218EF"/>
    <w:rsid w:val="00F22447"/>
    <w:rsid w:val="00F225C5"/>
    <w:rsid w:val="00F23AE9"/>
    <w:rsid w:val="00F2587A"/>
    <w:rsid w:val="00F311F3"/>
    <w:rsid w:val="00F326D6"/>
    <w:rsid w:val="00F3715D"/>
    <w:rsid w:val="00F41CFB"/>
    <w:rsid w:val="00F420C8"/>
    <w:rsid w:val="00F42A4C"/>
    <w:rsid w:val="00F446EF"/>
    <w:rsid w:val="00F465E2"/>
    <w:rsid w:val="00F5103F"/>
    <w:rsid w:val="00F51425"/>
    <w:rsid w:val="00F52FA5"/>
    <w:rsid w:val="00F53CF9"/>
    <w:rsid w:val="00F56007"/>
    <w:rsid w:val="00F57486"/>
    <w:rsid w:val="00F604DE"/>
    <w:rsid w:val="00F60AF5"/>
    <w:rsid w:val="00F61002"/>
    <w:rsid w:val="00F6141D"/>
    <w:rsid w:val="00F61505"/>
    <w:rsid w:val="00F632EF"/>
    <w:rsid w:val="00F63FD1"/>
    <w:rsid w:val="00F65F2C"/>
    <w:rsid w:val="00F67FE7"/>
    <w:rsid w:val="00F70CC2"/>
    <w:rsid w:val="00F74881"/>
    <w:rsid w:val="00F74E88"/>
    <w:rsid w:val="00F75686"/>
    <w:rsid w:val="00F76727"/>
    <w:rsid w:val="00F80462"/>
    <w:rsid w:val="00F80D4C"/>
    <w:rsid w:val="00F82BF8"/>
    <w:rsid w:val="00F8360B"/>
    <w:rsid w:val="00F8466D"/>
    <w:rsid w:val="00F84CBC"/>
    <w:rsid w:val="00F91E36"/>
    <w:rsid w:val="00F92540"/>
    <w:rsid w:val="00F9368C"/>
    <w:rsid w:val="00F979B3"/>
    <w:rsid w:val="00FA1160"/>
    <w:rsid w:val="00FA1A83"/>
    <w:rsid w:val="00FA2370"/>
    <w:rsid w:val="00FA4947"/>
    <w:rsid w:val="00FA6025"/>
    <w:rsid w:val="00FA6105"/>
    <w:rsid w:val="00FB05C7"/>
    <w:rsid w:val="00FB0719"/>
    <w:rsid w:val="00FB1B3B"/>
    <w:rsid w:val="00FB4E0F"/>
    <w:rsid w:val="00FB7512"/>
    <w:rsid w:val="00FC0466"/>
    <w:rsid w:val="00FC4101"/>
    <w:rsid w:val="00FD3935"/>
    <w:rsid w:val="00FD3B99"/>
    <w:rsid w:val="00FD6DC7"/>
    <w:rsid w:val="00FD7547"/>
    <w:rsid w:val="00FD7825"/>
    <w:rsid w:val="00FE1F42"/>
    <w:rsid w:val="00FE2CD0"/>
    <w:rsid w:val="00FE354D"/>
    <w:rsid w:val="00FF3C4E"/>
    <w:rsid w:val="00FF4A0B"/>
    <w:rsid w:val="00FF4CFC"/>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8223A9F"/>
  <w15:docId w15:val="{236F71A6-B1E8-40FC-A18C-C24428CB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03031"/>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9B7EF8"/>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03031"/>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9B7EF8"/>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link w:val="FooterChar"/>
    <w:uiPriority w:val="99"/>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uiPriority w:val="39"/>
    <w:pPr>
      <w:ind w:left="660"/>
    </w:pPr>
    <w:rPr>
      <w:rFonts w:asciiTheme="minorHAnsi" w:hAnsiTheme="minorHAnsi"/>
      <w:sz w:val="18"/>
      <w:szCs w:val="18"/>
    </w:rPr>
  </w:style>
  <w:style w:type="paragraph" w:styleId="TOC5">
    <w:name w:val="toc 5"/>
    <w:basedOn w:val="Normal"/>
    <w:next w:val="Normal"/>
    <w:autoRedefine/>
    <w:uiPriority w:val="39"/>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uiPriority w:val="39"/>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uiPriority w:val="39"/>
    <w:pPr>
      <w:ind w:left="1320"/>
    </w:pPr>
    <w:rPr>
      <w:rFonts w:asciiTheme="minorHAnsi" w:hAnsiTheme="minorHAnsi"/>
      <w:sz w:val="18"/>
      <w:szCs w:val="18"/>
    </w:rPr>
  </w:style>
  <w:style w:type="paragraph" w:styleId="TOC8">
    <w:name w:val="toc 8"/>
    <w:basedOn w:val="Normal"/>
    <w:next w:val="Normal"/>
    <w:autoRedefine/>
    <w:uiPriority w:val="39"/>
    <w:pPr>
      <w:ind w:left="1540"/>
    </w:pPr>
    <w:rPr>
      <w:rFonts w:asciiTheme="minorHAnsi" w:hAnsiTheme="minorHAnsi"/>
      <w:sz w:val="18"/>
      <w:szCs w:val="18"/>
    </w:rPr>
  </w:style>
  <w:style w:type="paragraph" w:styleId="TOC9">
    <w:name w:val="toc 9"/>
    <w:basedOn w:val="Normal"/>
    <w:next w:val="Normal"/>
    <w:autoRedefine/>
    <w:uiPriority w:val="39"/>
    <w:pPr>
      <w:ind w:left="1760"/>
    </w:pPr>
    <w:rPr>
      <w:rFonts w:asciiTheme="minorHAnsi" w:hAnsi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9B7EF8"/>
    <w:pPr>
      <w:widowControl/>
      <w:numPr>
        <w:numId w:val="1"/>
      </w:numPr>
      <w:ind w:left="567" w:hanging="567"/>
    </w:pPr>
    <w:rPr>
      <w:rFonts w:cs="Arial"/>
      <w:lang w:bidi="ar-SA"/>
    </w:rPr>
  </w:style>
  <w:style w:type="character" w:customStyle="1" w:styleId="FSBullet1Char">
    <w:name w:val="FSBullet 1 Char"/>
    <w:link w:val="FSBullet1"/>
    <w:rsid w:val="009B7EF8"/>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rsid w:val="00034724"/>
    <w:pPr>
      <w:ind w:left="720"/>
      <w:contextualSpacing/>
    </w:pPr>
  </w:style>
  <w:style w:type="paragraph" w:styleId="CommentSubject">
    <w:name w:val="annotation subject"/>
    <w:basedOn w:val="CommentText"/>
    <w:next w:val="CommentText"/>
    <w:link w:val="CommentSubjectChar"/>
    <w:rsid w:val="00BF7BCF"/>
    <w:rPr>
      <w:b/>
      <w:bCs/>
    </w:rPr>
  </w:style>
  <w:style w:type="character" w:customStyle="1" w:styleId="CommentSubjectChar">
    <w:name w:val="Comment Subject Char"/>
    <w:basedOn w:val="CommentTextChar"/>
    <w:link w:val="CommentSubject"/>
    <w:rsid w:val="00BF7BCF"/>
    <w:rPr>
      <w:rFonts w:ascii="Arial" w:hAnsi="Arial"/>
      <w:b/>
      <w:bCs/>
      <w:lang w:eastAsia="en-US" w:bidi="en-US"/>
    </w:rPr>
  </w:style>
  <w:style w:type="table" w:customStyle="1" w:styleId="TableGrid1">
    <w:name w:val="Table Grid1"/>
    <w:basedOn w:val="TableNormal"/>
    <w:next w:val="TableGrid"/>
    <w:uiPriority w:val="59"/>
    <w:rsid w:val="002F5B61"/>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172C"/>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072AF"/>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8197E"/>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5C63B4"/>
    <w:rPr>
      <w:sz w:val="20"/>
      <w:szCs w:val="20"/>
    </w:rPr>
  </w:style>
  <w:style w:type="character" w:customStyle="1" w:styleId="EndnoteTextChar">
    <w:name w:val="Endnote Text Char"/>
    <w:basedOn w:val="DefaultParagraphFont"/>
    <w:link w:val="EndnoteText"/>
    <w:rsid w:val="005C63B4"/>
    <w:rPr>
      <w:rFonts w:ascii="Arial" w:hAnsi="Arial"/>
      <w:lang w:eastAsia="en-US" w:bidi="en-US"/>
    </w:rPr>
  </w:style>
  <w:style w:type="character" w:styleId="EndnoteReference">
    <w:name w:val="endnote reference"/>
    <w:basedOn w:val="DefaultParagraphFont"/>
    <w:rsid w:val="005C63B4"/>
    <w:rPr>
      <w:vertAlign w:val="superscript"/>
    </w:rPr>
  </w:style>
  <w:style w:type="character" w:customStyle="1" w:styleId="FooterChar">
    <w:name w:val="Footer Char"/>
    <w:basedOn w:val="DefaultParagraphFont"/>
    <w:link w:val="Footer"/>
    <w:uiPriority w:val="99"/>
    <w:rsid w:val="00FA6105"/>
    <w:rPr>
      <w:rFonts w:ascii="Arial" w:hAnsi="Arial"/>
      <w:szCs w:val="24"/>
      <w:lang w:eastAsia="en-US" w:bidi="en-US"/>
    </w:rPr>
  </w:style>
  <w:style w:type="paragraph" w:styleId="Revision">
    <w:name w:val="Revision"/>
    <w:hidden/>
    <w:uiPriority w:val="99"/>
    <w:semiHidden/>
    <w:rsid w:val="009B7EF8"/>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065202">
      <w:bodyDiv w:val="1"/>
      <w:marLeft w:val="0"/>
      <w:marRight w:val="0"/>
      <w:marTop w:val="0"/>
      <w:marBottom w:val="0"/>
      <w:divBdr>
        <w:top w:val="none" w:sz="0" w:space="0" w:color="auto"/>
        <w:left w:val="none" w:sz="0" w:space="0" w:color="auto"/>
        <w:bottom w:val="none" w:sz="0" w:space="0" w:color="auto"/>
        <w:right w:val="none" w:sz="0" w:space="0" w:color="auto"/>
      </w:divBdr>
      <w:divsChild>
        <w:div w:id="1736005039">
          <w:marLeft w:val="0"/>
          <w:marRight w:val="0"/>
          <w:marTop w:val="0"/>
          <w:marBottom w:val="0"/>
          <w:divBdr>
            <w:top w:val="none" w:sz="0" w:space="0" w:color="auto"/>
            <w:left w:val="none" w:sz="0" w:space="0" w:color="auto"/>
            <w:bottom w:val="none" w:sz="0" w:space="0" w:color="auto"/>
            <w:right w:val="none" w:sz="0" w:space="0" w:color="auto"/>
          </w:divBdr>
          <w:divsChild>
            <w:div w:id="887692656">
              <w:marLeft w:val="0"/>
              <w:marRight w:val="0"/>
              <w:marTop w:val="0"/>
              <w:marBottom w:val="0"/>
              <w:divBdr>
                <w:top w:val="none" w:sz="0" w:space="0" w:color="auto"/>
                <w:left w:val="none" w:sz="0" w:space="0" w:color="auto"/>
                <w:bottom w:val="none" w:sz="0" w:space="0" w:color="auto"/>
                <w:right w:val="none" w:sz="0" w:space="0" w:color="auto"/>
              </w:divBdr>
              <w:divsChild>
                <w:div w:id="784274365">
                  <w:marLeft w:val="0"/>
                  <w:marRight w:val="0"/>
                  <w:marTop w:val="0"/>
                  <w:marBottom w:val="0"/>
                  <w:divBdr>
                    <w:top w:val="none" w:sz="0" w:space="0" w:color="auto"/>
                    <w:left w:val="none" w:sz="0" w:space="0" w:color="auto"/>
                    <w:bottom w:val="none" w:sz="0" w:space="0" w:color="auto"/>
                    <w:right w:val="none" w:sz="0" w:space="0" w:color="auto"/>
                  </w:divBdr>
                  <w:divsChild>
                    <w:div w:id="1950694502">
                      <w:marLeft w:val="375"/>
                      <w:marRight w:val="375"/>
                      <w:marTop w:val="0"/>
                      <w:marBottom w:val="0"/>
                      <w:divBdr>
                        <w:top w:val="none" w:sz="0" w:space="0" w:color="auto"/>
                        <w:left w:val="none" w:sz="0" w:space="0" w:color="auto"/>
                        <w:bottom w:val="none" w:sz="0" w:space="0" w:color="auto"/>
                        <w:right w:val="none" w:sz="0" w:space="0" w:color="auto"/>
                      </w:divBdr>
                      <w:divsChild>
                        <w:div w:id="135230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001974">
      <w:bodyDiv w:val="1"/>
      <w:marLeft w:val="0"/>
      <w:marRight w:val="0"/>
      <w:marTop w:val="0"/>
      <w:marBottom w:val="0"/>
      <w:divBdr>
        <w:top w:val="none" w:sz="0" w:space="0" w:color="auto"/>
        <w:left w:val="none" w:sz="0" w:space="0" w:color="auto"/>
        <w:bottom w:val="none" w:sz="0" w:space="0" w:color="auto"/>
        <w:right w:val="none" w:sz="0" w:space="0" w:color="auto"/>
      </w:divBdr>
    </w:div>
    <w:div w:id="1105809572">
      <w:bodyDiv w:val="1"/>
      <w:marLeft w:val="0"/>
      <w:marRight w:val="0"/>
      <w:marTop w:val="0"/>
      <w:marBottom w:val="0"/>
      <w:divBdr>
        <w:top w:val="none" w:sz="0" w:space="0" w:color="auto"/>
        <w:left w:val="none" w:sz="0" w:space="0" w:color="auto"/>
        <w:bottom w:val="none" w:sz="0" w:space="0" w:color="auto"/>
        <w:right w:val="none" w:sz="0" w:space="0" w:color="auto"/>
      </w:divBdr>
    </w:div>
    <w:div w:id="1384251921">
      <w:bodyDiv w:val="1"/>
      <w:marLeft w:val="0"/>
      <w:marRight w:val="0"/>
      <w:marTop w:val="0"/>
      <w:marBottom w:val="0"/>
      <w:divBdr>
        <w:top w:val="none" w:sz="0" w:space="0" w:color="auto"/>
        <w:left w:val="none" w:sz="0" w:space="0" w:color="auto"/>
        <w:bottom w:val="none" w:sz="0" w:space="0" w:color="auto"/>
        <w:right w:val="none" w:sz="0" w:space="0" w:color="auto"/>
      </w:divBdr>
      <w:divsChild>
        <w:div w:id="2035376093">
          <w:marLeft w:val="0"/>
          <w:marRight w:val="0"/>
          <w:marTop w:val="0"/>
          <w:marBottom w:val="0"/>
          <w:divBdr>
            <w:top w:val="none" w:sz="0" w:space="0" w:color="auto"/>
            <w:left w:val="none" w:sz="0" w:space="0" w:color="auto"/>
            <w:bottom w:val="none" w:sz="0" w:space="0" w:color="auto"/>
            <w:right w:val="none" w:sz="0" w:space="0" w:color="auto"/>
          </w:divBdr>
          <w:divsChild>
            <w:div w:id="809325654">
              <w:marLeft w:val="0"/>
              <w:marRight w:val="0"/>
              <w:marTop w:val="0"/>
              <w:marBottom w:val="0"/>
              <w:divBdr>
                <w:top w:val="none" w:sz="0" w:space="0" w:color="auto"/>
                <w:left w:val="none" w:sz="0" w:space="0" w:color="auto"/>
                <w:bottom w:val="none" w:sz="0" w:space="0" w:color="auto"/>
                <w:right w:val="none" w:sz="0" w:space="0" w:color="auto"/>
              </w:divBdr>
              <w:divsChild>
                <w:div w:id="1483811711">
                  <w:marLeft w:val="0"/>
                  <w:marRight w:val="0"/>
                  <w:marTop w:val="0"/>
                  <w:marBottom w:val="0"/>
                  <w:divBdr>
                    <w:top w:val="none" w:sz="0" w:space="0" w:color="auto"/>
                    <w:left w:val="none" w:sz="0" w:space="0" w:color="auto"/>
                    <w:bottom w:val="none" w:sz="0" w:space="0" w:color="auto"/>
                    <w:right w:val="none" w:sz="0" w:space="0" w:color="auto"/>
                  </w:divBdr>
                  <w:divsChild>
                    <w:div w:id="401604777">
                      <w:marLeft w:val="375"/>
                      <w:marRight w:val="375"/>
                      <w:marTop w:val="0"/>
                      <w:marBottom w:val="0"/>
                      <w:divBdr>
                        <w:top w:val="none" w:sz="0" w:space="0" w:color="auto"/>
                        <w:left w:val="none" w:sz="0" w:space="0" w:color="auto"/>
                        <w:bottom w:val="none" w:sz="0" w:space="0" w:color="auto"/>
                        <w:right w:val="none" w:sz="0" w:space="0" w:color="auto"/>
                      </w:divBdr>
                      <w:divsChild>
                        <w:div w:id="101129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837767887">
      <w:bodyDiv w:val="1"/>
      <w:marLeft w:val="0"/>
      <w:marRight w:val="0"/>
      <w:marTop w:val="0"/>
      <w:marBottom w:val="0"/>
      <w:divBdr>
        <w:top w:val="none" w:sz="0" w:space="0" w:color="auto"/>
        <w:left w:val="none" w:sz="0" w:space="0" w:color="auto"/>
        <w:bottom w:val="none" w:sz="0" w:space="0" w:color="auto"/>
        <w:right w:val="none" w:sz="0" w:space="0" w:color="auto"/>
      </w:divBdr>
    </w:div>
    <w:div w:id="1893345143">
      <w:bodyDiv w:val="1"/>
      <w:marLeft w:val="0"/>
      <w:marRight w:val="0"/>
      <w:marTop w:val="0"/>
      <w:marBottom w:val="0"/>
      <w:divBdr>
        <w:top w:val="none" w:sz="0" w:space="0" w:color="auto"/>
        <w:left w:val="none" w:sz="0" w:space="0" w:color="auto"/>
        <w:bottom w:val="none" w:sz="0" w:space="0" w:color="auto"/>
        <w:right w:val="none" w:sz="0" w:space="0" w:color="auto"/>
      </w:divBdr>
      <w:divsChild>
        <w:div w:id="787621296">
          <w:marLeft w:val="0"/>
          <w:marRight w:val="1"/>
          <w:marTop w:val="0"/>
          <w:marBottom w:val="0"/>
          <w:divBdr>
            <w:top w:val="none" w:sz="0" w:space="0" w:color="auto"/>
            <w:left w:val="none" w:sz="0" w:space="0" w:color="auto"/>
            <w:bottom w:val="none" w:sz="0" w:space="0" w:color="auto"/>
            <w:right w:val="none" w:sz="0" w:space="0" w:color="auto"/>
          </w:divBdr>
          <w:divsChild>
            <w:div w:id="2108840867">
              <w:marLeft w:val="0"/>
              <w:marRight w:val="0"/>
              <w:marTop w:val="0"/>
              <w:marBottom w:val="0"/>
              <w:divBdr>
                <w:top w:val="none" w:sz="0" w:space="0" w:color="auto"/>
                <w:left w:val="none" w:sz="0" w:space="0" w:color="auto"/>
                <w:bottom w:val="none" w:sz="0" w:space="0" w:color="auto"/>
                <w:right w:val="none" w:sz="0" w:space="0" w:color="auto"/>
              </w:divBdr>
              <w:divsChild>
                <w:div w:id="1524972721">
                  <w:marLeft w:val="0"/>
                  <w:marRight w:val="1"/>
                  <w:marTop w:val="0"/>
                  <w:marBottom w:val="0"/>
                  <w:divBdr>
                    <w:top w:val="none" w:sz="0" w:space="0" w:color="auto"/>
                    <w:left w:val="none" w:sz="0" w:space="0" w:color="auto"/>
                    <w:bottom w:val="none" w:sz="0" w:space="0" w:color="auto"/>
                    <w:right w:val="none" w:sz="0" w:space="0" w:color="auto"/>
                  </w:divBdr>
                  <w:divsChild>
                    <w:div w:id="403067151">
                      <w:marLeft w:val="0"/>
                      <w:marRight w:val="0"/>
                      <w:marTop w:val="0"/>
                      <w:marBottom w:val="0"/>
                      <w:divBdr>
                        <w:top w:val="none" w:sz="0" w:space="0" w:color="auto"/>
                        <w:left w:val="none" w:sz="0" w:space="0" w:color="auto"/>
                        <w:bottom w:val="none" w:sz="0" w:space="0" w:color="auto"/>
                        <w:right w:val="none" w:sz="0" w:space="0" w:color="auto"/>
                      </w:divBdr>
                      <w:divsChild>
                        <w:div w:id="408771581">
                          <w:marLeft w:val="0"/>
                          <w:marRight w:val="0"/>
                          <w:marTop w:val="0"/>
                          <w:marBottom w:val="0"/>
                          <w:divBdr>
                            <w:top w:val="none" w:sz="0" w:space="0" w:color="auto"/>
                            <w:left w:val="none" w:sz="0" w:space="0" w:color="auto"/>
                            <w:bottom w:val="none" w:sz="0" w:space="0" w:color="auto"/>
                            <w:right w:val="none" w:sz="0" w:space="0" w:color="auto"/>
                          </w:divBdr>
                          <w:divsChild>
                            <w:div w:id="2007785463">
                              <w:marLeft w:val="0"/>
                              <w:marRight w:val="0"/>
                              <w:marTop w:val="120"/>
                              <w:marBottom w:val="360"/>
                              <w:divBdr>
                                <w:top w:val="none" w:sz="0" w:space="0" w:color="auto"/>
                                <w:left w:val="none" w:sz="0" w:space="0" w:color="auto"/>
                                <w:bottom w:val="none" w:sz="0" w:space="0" w:color="auto"/>
                                <w:right w:val="none" w:sz="0" w:space="0" w:color="auto"/>
                              </w:divBdr>
                              <w:divsChild>
                                <w:div w:id="1041979377">
                                  <w:marLeft w:val="0"/>
                                  <w:marRight w:val="0"/>
                                  <w:marTop w:val="0"/>
                                  <w:marBottom w:val="0"/>
                                  <w:divBdr>
                                    <w:top w:val="none" w:sz="0" w:space="0" w:color="auto"/>
                                    <w:left w:val="none" w:sz="0" w:space="0" w:color="auto"/>
                                    <w:bottom w:val="none" w:sz="0" w:space="0" w:color="auto"/>
                                    <w:right w:val="none" w:sz="0" w:space="0" w:color="auto"/>
                                  </w:divBdr>
                                </w:div>
                                <w:div w:id="1203708655">
                                  <w:marLeft w:val="0"/>
                                  <w:marRight w:val="0"/>
                                  <w:marTop w:val="0"/>
                                  <w:marBottom w:val="0"/>
                                  <w:divBdr>
                                    <w:top w:val="none" w:sz="0" w:space="0" w:color="auto"/>
                                    <w:left w:val="none" w:sz="0" w:space="0" w:color="auto"/>
                                    <w:bottom w:val="none" w:sz="0" w:space="0" w:color="auto"/>
                                    <w:right w:val="none" w:sz="0" w:space="0" w:color="auto"/>
                                  </w:divBdr>
                                </w:div>
                                <w:div w:id="1280717791">
                                  <w:marLeft w:val="0"/>
                                  <w:marRight w:val="0"/>
                                  <w:marTop w:val="0"/>
                                  <w:marBottom w:val="0"/>
                                  <w:divBdr>
                                    <w:top w:val="none" w:sz="0" w:space="0" w:color="auto"/>
                                    <w:left w:val="none" w:sz="0" w:space="0" w:color="auto"/>
                                    <w:bottom w:val="none" w:sz="0" w:space="0" w:color="auto"/>
                                    <w:right w:val="none" w:sz="0" w:space="0" w:color="auto"/>
                                  </w:divBdr>
                                  <w:divsChild>
                                    <w:div w:id="1673294017">
                                      <w:marLeft w:val="0"/>
                                      <w:marRight w:val="0"/>
                                      <w:marTop w:val="0"/>
                                      <w:marBottom w:val="0"/>
                                      <w:divBdr>
                                        <w:top w:val="none" w:sz="0" w:space="0" w:color="auto"/>
                                        <w:left w:val="none" w:sz="0" w:space="0" w:color="auto"/>
                                        <w:bottom w:val="none" w:sz="0" w:space="0" w:color="auto"/>
                                        <w:right w:val="none" w:sz="0" w:space="0" w:color="auto"/>
                                      </w:divBdr>
                                    </w:div>
                                  </w:divsChild>
                                </w:div>
                                <w:div w:id="1343901027">
                                  <w:marLeft w:val="0"/>
                                  <w:marRight w:val="0"/>
                                  <w:marTop w:val="0"/>
                                  <w:marBottom w:val="0"/>
                                  <w:divBdr>
                                    <w:top w:val="none" w:sz="0" w:space="0" w:color="auto"/>
                                    <w:left w:val="none" w:sz="0" w:space="0" w:color="auto"/>
                                    <w:bottom w:val="none" w:sz="0" w:space="0" w:color="auto"/>
                                    <w:right w:val="none" w:sz="0" w:space="0" w:color="auto"/>
                                  </w:divBdr>
                                  <w:divsChild>
                                    <w:div w:id="1413966517">
                                      <w:marLeft w:val="0"/>
                                      <w:marRight w:val="0"/>
                                      <w:marTop w:val="0"/>
                                      <w:marBottom w:val="0"/>
                                      <w:divBdr>
                                        <w:top w:val="none" w:sz="0" w:space="0" w:color="auto"/>
                                        <w:left w:val="none" w:sz="0" w:space="0" w:color="auto"/>
                                        <w:bottom w:val="none" w:sz="0" w:space="0" w:color="auto"/>
                                        <w:right w:val="none" w:sz="0" w:space="0" w:color="auto"/>
                                      </w:divBdr>
                                    </w:div>
                                  </w:divsChild>
                                </w:div>
                                <w:div w:id="1706713267">
                                  <w:marLeft w:val="0"/>
                                  <w:marRight w:val="0"/>
                                  <w:marTop w:val="0"/>
                                  <w:marBottom w:val="0"/>
                                  <w:divBdr>
                                    <w:top w:val="none" w:sz="0" w:space="0" w:color="auto"/>
                                    <w:left w:val="none" w:sz="0" w:space="0" w:color="auto"/>
                                    <w:bottom w:val="none" w:sz="0" w:space="0" w:color="auto"/>
                                    <w:right w:val="none" w:sz="0" w:space="0" w:color="auto"/>
                                  </w:divBdr>
                                </w:div>
                                <w:div w:id="2077587991">
                                  <w:marLeft w:val="0"/>
                                  <w:marRight w:val="0"/>
                                  <w:marTop w:val="0"/>
                                  <w:marBottom w:val="0"/>
                                  <w:divBdr>
                                    <w:top w:val="none" w:sz="0" w:space="0" w:color="auto"/>
                                    <w:left w:val="none" w:sz="0" w:space="0" w:color="auto"/>
                                    <w:bottom w:val="none" w:sz="0" w:space="0" w:color="auto"/>
                                    <w:right w:val="none" w:sz="0" w:space="0" w:color="auto"/>
                                  </w:divBdr>
                                  <w:divsChild>
                                    <w:div w:id="191142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1.png"/><Relationship Id="rId26" Type="http://schemas.openxmlformats.org/officeDocument/2006/relationships/image" Target="media/image10.png"/><Relationship Id="rId39" Type="http://schemas.openxmlformats.org/officeDocument/2006/relationships/hyperlink" Target="http://www.google.com.au/url?sa=t&amp;rct=j&amp;q=&amp;esrc=s&amp;source=web&amp;cd=1&amp;cad=rja&amp;uact=8&amp;ved=0ahUKEwilnJPU87_QAhXDqY8KHRUSCh0QFggmMAA&amp;url=http%3A%2F%2Fwww.oiv.int%2Fpublic%2Fmedias%2F4051%2Ff-coei-1-chlar-en.pdf&amp;usg=AFQjCNE-7WdlPKKv2bp2WYaSR8DTHK-EnA" TargetMode="External"/><Relationship Id="rId21" Type="http://schemas.openxmlformats.org/officeDocument/2006/relationships/image" Target="media/image6.png"/><Relationship Id="rId34" Type="http://schemas.openxmlformats.org/officeDocument/2006/relationships/hyperlink" Target="https://www.atsdr.cdc.gov/toxprofiles/TP.asp?id=539&amp;tid=97"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emf"/><Relationship Id="rId25" Type="http://schemas.openxmlformats.org/officeDocument/2006/relationships/hyperlink" Target="https://en.wikipedia.org/wiki/Wine_yeast" TargetMode="External"/><Relationship Id="rId33" Type="http://schemas.openxmlformats.org/officeDocument/2006/relationships/hyperlink" Target="http://www.google.com.au/url?sa=t&amp;rct=j&amp;q=&amp;esrc=s&amp;source=web&amp;cd=1&amp;cad=rja&amp;uact=8&amp;ved=0ahUKEwi5oZH6-L3QAhWLto8KHbuRDXEQFggeMAA&amp;url=http%3A%2F%2Fwww.oiv.int%2Fpublic%2Fmedias%2F4048%2Fe-coei-1-ammhyd.pdf&amp;usg=AFQjCNE8DuI_1fTVbWsB23dYjjzSpBsiXA" TargetMode="External"/><Relationship Id="rId38" Type="http://schemas.openxmlformats.org/officeDocument/2006/relationships/hyperlink" Target="http://www.erbsloeh.com/en/products/wine/products_a_z%20Accessed%209/12/2106"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png"/><Relationship Id="rId29" Type="http://schemas.openxmlformats.org/officeDocument/2006/relationships/hyperlink" Target="http://worldaccount.basf.com/wa/NAFTA/Catalog/ChemicalsNAFTA/info/BASF/PRD/30037086"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emf"/><Relationship Id="rId32" Type="http://schemas.openxmlformats.org/officeDocument/2006/relationships/hyperlink" Target="http://www.ioc.eu.com/en/" TargetMode="External"/><Relationship Id="rId37" Type="http://schemas.openxmlformats.org/officeDocument/2006/relationships/hyperlink" Target="http://www.google.com.au/url?sa=t&amp;rct=j&amp;q=&amp;esrc=s&amp;source=web&amp;cd=1&amp;cad=rja&amp;uact=8&amp;ved=0ahUKEwjP1qKdy9vQAhXFPY8KHaYkB4sQFggcMAA&amp;url=http%3A%2F%2Fwww.gie.uchile.cl%2Fpdf%2FGIE_legislacion%2FCodigo_practicas%2520enologicas_2012.pdf&amp;usg=AFQjCNG4W6cskOfcV0FNt5KrgqDNqkDVkg"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hyperlink" Target="http://www.jhed.mk/categories/view/459/456" TargetMode="External"/><Relationship Id="rId36" Type="http://schemas.openxmlformats.org/officeDocument/2006/relationships/hyperlink" Target="http://www.google.com.au/url?sa=t&amp;rct=j&amp;q=&amp;esrc=s&amp;source=web&amp;cd=1&amp;cad=rja&amp;uact=8&amp;ved=0ahUKEwjP1qKdy9vQAhXFPY8KHaYkB4sQFggcMAA&amp;url=http%3A%2F%2Fwww.gie.uchile.cl%2Fpdf%2FGIE_legislacion%2FCodigo_practicas%2520enologicas_2012.pdf&amp;usg=AFQjCNG4W6cskOfcV0FNt5KrgqDNqkDVkg" TargetMode="External"/><Relationship Id="rId10" Type="http://schemas.openxmlformats.org/officeDocument/2006/relationships/webSettings" Target="webSettings.xml"/><Relationship Id="rId19" Type="http://schemas.openxmlformats.org/officeDocument/2006/relationships/image" Target="media/image4.png"/><Relationship Id="rId31" Type="http://schemas.openxmlformats.org/officeDocument/2006/relationships/hyperlink" Target="http://www.bcawa.ca/winemaking/so2use.htm" TargetMode="External"/><Relationship Id="rId35" Type="http://schemas.openxmlformats.org/officeDocument/2006/relationships/hyperlink" Target="https://www.efsa.europa.eu/en/efsajournal/pub/4364" TargetMode="Externa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hyperlink" Target="http://www.efsa.europa.eu/en/efsajournal/pub/1687" TargetMode="External"/><Relationship Id="rId30" Type="http://schemas.openxmlformats.org/officeDocument/2006/relationships/hyperlink" Target="http://shop-usa.enartis.com/amfilerating/file/download/file_id/787" TargetMode="External"/><Relationship Id="rId8"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959f586-1386-49a0-8f25-29490ba8c513" ContentTypeId="0x01010004C4C934AD08B647A78FCADD498BE31902"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D1F66F-18E1-4239-B1A5-265ACC764C90}"/>
</file>

<file path=customXml/itemProps2.xml><?xml version="1.0" encoding="utf-8"?>
<ds:datastoreItem xmlns:ds="http://schemas.openxmlformats.org/officeDocument/2006/customXml" ds:itemID="{12628509-0F57-440B-8118-CD349B40FBE8}"/>
</file>

<file path=customXml/itemProps3.xml><?xml version="1.0" encoding="utf-8"?>
<ds:datastoreItem xmlns:ds="http://schemas.openxmlformats.org/officeDocument/2006/customXml" ds:itemID="{00257E33-019B-455E-9A3E-896478DFC591}">
  <ds:schemaRefs>
    <ds:schemaRef ds:uri="http://schemas.microsoft.com/sharepoint/v3/contenttype/forms"/>
  </ds:schemaRefs>
</ds:datastoreItem>
</file>

<file path=customXml/itemProps4.xml><?xml version="1.0" encoding="utf-8"?>
<ds:datastoreItem xmlns:ds="http://schemas.openxmlformats.org/officeDocument/2006/customXml" ds:itemID="{1237DFC6-52BF-4D8D-A748-CC95BEE5F00D}">
  <ds:schemaRefs>
    <ds:schemaRef ds:uri="Microsoft.SharePoint.Taxonomy.ContentTypeSync"/>
  </ds:schemaRefs>
</ds:datastoreItem>
</file>

<file path=customXml/itemProps5.xml><?xml version="1.0" encoding="utf-8"?>
<ds:datastoreItem xmlns:ds="http://schemas.openxmlformats.org/officeDocument/2006/customXml" ds:itemID="{23A7494B-2A73-40A5-99FD-36A793D8DE4A}"/>
</file>

<file path=customXml/itemProps6.xml><?xml version="1.0" encoding="utf-8"?>
<ds:datastoreItem xmlns:ds="http://schemas.openxmlformats.org/officeDocument/2006/customXml" ds:itemID="{00257E33-019B-455E-9A3E-896478DFC591}"/>
</file>

<file path=docProps/app.xml><?xml version="1.0" encoding="utf-8"?>
<Properties xmlns="http://schemas.openxmlformats.org/officeDocument/2006/extended-properties" xmlns:vt="http://schemas.openxmlformats.org/officeDocument/2006/docPropsVTypes">
  <Template>Normal.dotm</Template>
  <TotalTime>4790</TotalTime>
  <Pages>46</Pages>
  <Words>19457</Words>
  <Characters>110911</Characters>
  <Application>Microsoft Office Word</Application>
  <DocSecurity>0</DocSecurity>
  <Lines>924</Lines>
  <Paragraphs>260</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130108</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Ben.Sutherland@foodstandards.govt.nz</dc:creator>
  <cp:lastModifiedBy>Humphries, Cathie</cp:lastModifiedBy>
  <cp:revision>243</cp:revision>
  <cp:lastPrinted>2016-12-15T00:50:00Z</cp:lastPrinted>
  <dcterms:created xsi:type="dcterms:W3CDTF">2017-02-21T01:02:00Z</dcterms:created>
  <dcterms:modified xsi:type="dcterms:W3CDTF">2017-04-13T06:52:00Z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BCS_">
    <vt:lpwstr>40;#FOOD STANDARDS:Evaluation|43bd8487-b9f6-4055-946c-a118d364275d</vt:lpwstr>
  </property>
  <property fmtid="{D5CDD505-2E9C-101B-9397-08002B2CF9AE}" pid="4" name="_dlc_DocIdItemGuid">
    <vt:lpwstr>9f6177f4-2350-42a5-8abb-f57a0c0f1380</vt:lpwstr>
  </property>
  <property fmtid="{D5CDD505-2E9C-101B-9397-08002B2CF9AE}" pid="5" name="DisposalClass">
    <vt:lpwstr/>
  </property>
  <property fmtid="{D5CDD505-2E9C-101B-9397-08002B2CF9AE}" pid="6" name="TitusGUID">
    <vt:lpwstr>220b238d-fa03-4a8a-a5b7-3a9e0131829d</vt:lpwstr>
  </property>
</Properties>
</file>